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02E0" w14:textId="39F9C5CD" w:rsidR="00E02E3F" w:rsidRDefault="00E02E3F" w:rsidP="00E02E3F">
      <w:pPr>
        <w:jc w:val="right"/>
      </w:pPr>
      <w:r w:rsidRPr="00E02E3F">
        <w:t xml:space="preserve"> </w:t>
      </w:r>
      <w:r>
        <w:rPr>
          <w:noProof/>
        </w:rPr>
        <w:drawing>
          <wp:inline distT="0" distB="0" distL="0" distR="0" wp14:anchorId="3F329C84" wp14:editId="56B91AC2">
            <wp:extent cx="1831017" cy="409575"/>
            <wp:effectExtent l="0" t="0" r="0" b="0"/>
            <wp:docPr id="2" name="Picture 2" descr="Mlinar | Shopping centar Zadar | Super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inar | Shopping centar Zadar | Superno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41" cy="4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177C" w14:textId="31DB27DB" w:rsidR="00E02E3F" w:rsidRDefault="00E02E3F" w:rsidP="00E02E3F">
      <w:pPr>
        <w:jc w:val="right"/>
      </w:pPr>
    </w:p>
    <w:p w14:paraId="3F94C70A" w14:textId="0C94D9D5" w:rsidR="00E02E3F" w:rsidRDefault="00E02E3F" w:rsidP="00E02E3F">
      <w:pPr>
        <w:jc w:val="right"/>
      </w:pPr>
    </w:p>
    <w:p w14:paraId="45756911" w14:textId="444C7CDA" w:rsidR="00E02E3F" w:rsidRDefault="00E02E3F" w:rsidP="00E02E3F">
      <w:pPr>
        <w:jc w:val="right"/>
      </w:pPr>
    </w:p>
    <w:p w14:paraId="455EA291" w14:textId="5A8F79AE" w:rsidR="00E02E3F" w:rsidRDefault="00E02E3F" w:rsidP="00E02E3F">
      <w:pPr>
        <w:jc w:val="right"/>
      </w:pPr>
    </w:p>
    <w:p w14:paraId="4D3BDC5B" w14:textId="77777777" w:rsidR="00E02E3F" w:rsidRDefault="00E02E3F" w:rsidP="00E02E3F">
      <w:pPr>
        <w:jc w:val="right"/>
      </w:pPr>
    </w:p>
    <w:p w14:paraId="49B16560" w14:textId="1D0E1313" w:rsidR="00E02E3F" w:rsidRPr="00A04460" w:rsidRDefault="00E02E3F" w:rsidP="00DB714C">
      <w:pPr>
        <w:pStyle w:val="Naslov"/>
      </w:pPr>
      <w:r w:rsidRPr="00A04460">
        <w:t xml:space="preserve">Politika </w:t>
      </w:r>
      <w:r w:rsidR="00720969">
        <w:t>pričuvne pohrane podataka</w:t>
      </w:r>
      <w:r w:rsidRPr="00A04460">
        <w:t xml:space="preserve"> </w:t>
      </w:r>
    </w:p>
    <w:p w14:paraId="388AF056" w14:textId="509BDCCE" w:rsidR="00F71C27" w:rsidRPr="00F71C27" w:rsidRDefault="00F71C27" w:rsidP="00DB714C">
      <w:pPr>
        <w:pStyle w:val="Podnaslov"/>
      </w:pPr>
      <w:r>
        <w:t xml:space="preserve">U Informacijskom sustavu </w:t>
      </w:r>
      <w:r w:rsidR="00D73F30">
        <w:t xml:space="preserve">tvrtke </w:t>
      </w:r>
      <w:r>
        <w:t>Mlinar</w:t>
      </w:r>
      <w:r w:rsidR="00F4417A">
        <w:t xml:space="preserve"> </w:t>
      </w:r>
      <w:r w:rsidR="00D73F30">
        <w:t xml:space="preserve">pekarska industrija </w:t>
      </w:r>
      <w:r w:rsidR="00F4417A">
        <w:t>d.o.o.</w:t>
      </w:r>
    </w:p>
    <w:p w14:paraId="5397E5BB" w14:textId="51C0B362" w:rsidR="00E02E3F" w:rsidRDefault="00E02E3F" w:rsidP="00E02E3F">
      <w:pPr>
        <w:jc w:val="right"/>
      </w:pPr>
    </w:p>
    <w:p w14:paraId="68AE8799" w14:textId="0A94DFFD" w:rsidR="00E02E3F" w:rsidRDefault="00E02E3F" w:rsidP="00E02E3F"/>
    <w:p w14:paraId="0C619380" w14:textId="16645DE2" w:rsidR="00E02E3F" w:rsidRDefault="00E02E3F" w:rsidP="00E02E3F"/>
    <w:p w14:paraId="0D9A825F" w14:textId="7B88281C" w:rsidR="00E02E3F" w:rsidRDefault="00E02E3F" w:rsidP="00E02E3F"/>
    <w:p w14:paraId="3177C3D1" w14:textId="5A9FF653" w:rsidR="00E02E3F" w:rsidRDefault="00E02E3F" w:rsidP="00E02E3F"/>
    <w:p w14:paraId="45B9C058" w14:textId="0214C2EB" w:rsidR="00E02E3F" w:rsidRDefault="00E02E3F" w:rsidP="00E02E3F"/>
    <w:p w14:paraId="786F28FD" w14:textId="5B846C0B" w:rsidR="00E02E3F" w:rsidRDefault="00E02E3F" w:rsidP="00E02E3F"/>
    <w:p w14:paraId="54389186" w14:textId="1933B5E5" w:rsidR="00E02E3F" w:rsidRDefault="00E02E3F" w:rsidP="00E02E3F"/>
    <w:p w14:paraId="6FD5E177" w14:textId="704FCCB9" w:rsidR="00E02E3F" w:rsidRDefault="00E02E3F" w:rsidP="00E02E3F"/>
    <w:p w14:paraId="193C74A6" w14:textId="3F53CB1D" w:rsidR="00E02E3F" w:rsidRDefault="00E02E3F" w:rsidP="00E02E3F"/>
    <w:p w14:paraId="0CA3E3F7" w14:textId="066D38B3" w:rsidR="00E02E3F" w:rsidRDefault="00E02E3F" w:rsidP="00E02E3F"/>
    <w:p w14:paraId="2724E6D2" w14:textId="4DB7DE2E" w:rsidR="00E02E3F" w:rsidRDefault="00E02E3F" w:rsidP="00E02E3F"/>
    <w:p w14:paraId="21D36706" w14:textId="462422A0" w:rsidR="00E02E3F" w:rsidRDefault="00E02E3F" w:rsidP="00E02E3F"/>
    <w:p w14:paraId="3639E410" w14:textId="77777777" w:rsidR="00E02E3F" w:rsidRDefault="00E02E3F" w:rsidP="00E02E3F"/>
    <w:p w14:paraId="2F372226" w14:textId="5F87FDEA" w:rsidR="00E02E3F" w:rsidRDefault="00E02E3F" w:rsidP="00E02E3F">
      <w:pPr>
        <w:tabs>
          <w:tab w:val="left" w:pos="2880"/>
        </w:tabs>
        <w:spacing w:after="0"/>
        <w:rPr>
          <w:b/>
          <w:bCs/>
        </w:rPr>
      </w:pPr>
      <w:r>
        <w:t>Autor</w:t>
      </w:r>
      <w:r w:rsidR="00E75C20">
        <w:t>(i)</w:t>
      </w:r>
      <w:r>
        <w:t xml:space="preserve"> dokumenta: </w:t>
      </w:r>
      <w:r>
        <w:tab/>
      </w:r>
      <w:r w:rsidR="00063C51">
        <w:rPr>
          <w:b/>
          <w:bCs/>
        </w:rPr>
        <w:t>D. Gošnjić</w:t>
      </w:r>
    </w:p>
    <w:p w14:paraId="169208B6" w14:textId="1F0A8882" w:rsidR="00E02E3F" w:rsidRDefault="00E02E3F" w:rsidP="00E02E3F">
      <w:pPr>
        <w:tabs>
          <w:tab w:val="left" w:pos="2880"/>
        </w:tabs>
        <w:spacing w:after="0"/>
      </w:pPr>
      <w:r>
        <w:t>Oznaka dokumenta:</w:t>
      </w:r>
      <w:r>
        <w:tab/>
      </w:r>
      <w:r w:rsidR="004633DA" w:rsidRPr="004633DA">
        <w:rPr>
          <w:b/>
          <w:bCs/>
          <w:noProof/>
        </w:rPr>
        <w:t>Mlinar-ITP-00</w:t>
      </w:r>
      <w:r w:rsidR="00720969">
        <w:rPr>
          <w:b/>
          <w:bCs/>
          <w:noProof/>
        </w:rPr>
        <w:t>6</w:t>
      </w:r>
      <w:r w:rsidR="001F3407">
        <w:rPr>
          <w:b/>
          <w:bCs/>
          <w:noProof/>
        </w:rPr>
        <w:t>v1.</w:t>
      </w:r>
      <w:r w:rsidR="00427731">
        <w:rPr>
          <w:b/>
          <w:bCs/>
          <w:noProof/>
        </w:rPr>
        <w:t>0</w:t>
      </w:r>
    </w:p>
    <w:p w14:paraId="05013E2C" w14:textId="39BA7C76" w:rsidR="00816492" w:rsidRDefault="00816492" w:rsidP="00E02E3F">
      <w:pPr>
        <w:tabs>
          <w:tab w:val="left" w:pos="2880"/>
        </w:tabs>
        <w:spacing w:after="0"/>
      </w:pPr>
      <w:r>
        <w:t>Naziv dokumeta:</w:t>
      </w:r>
      <w:r>
        <w:tab/>
      </w:r>
      <w:r w:rsidR="004633DA" w:rsidRPr="004633DA">
        <w:rPr>
          <w:b/>
          <w:bCs/>
        </w:rPr>
        <w:fldChar w:fldCharType="begin"/>
      </w:r>
      <w:r w:rsidR="004633DA" w:rsidRPr="004633DA">
        <w:rPr>
          <w:b/>
          <w:bCs/>
        </w:rPr>
        <w:instrText xml:space="preserve"> FILENAME   \* MERGEFORMAT </w:instrText>
      </w:r>
      <w:r w:rsidR="004633DA" w:rsidRPr="004633DA">
        <w:rPr>
          <w:b/>
          <w:bCs/>
        </w:rPr>
        <w:fldChar w:fldCharType="separate"/>
      </w:r>
      <w:r w:rsidR="00ED477E">
        <w:rPr>
          <w:b/>
          <w:bCs/>
          <w:noProof/>
        </w:rPr>
        <w:t>Mlinar-ITP-006v1.0 - Politika pricuvne pohrane podataka.docx</w:t>
      </w:r>
      <w:r w:rsidR="004633DA" w:rsidRPr="004633DA">
        <w:rPr>
          <w:b/>
          <w:bCs/>
        </w:rPr>
        <w:fldChar w:fldCharType="end"/>
      </w:r>
    </w:p>
    <w:p w14:paraId="4D278884" w14:textId="67F22962" w:rsidR="00E02E3F" w:rsidRDefault="00E02E3F" w:rsidP="00E02E3F">
      <w:pPr>
        <w:tabs>
          <w:tab w:val="left" w:pos="2880"/>
        </w:tabs>
        <w:spacing w:after="0"/>
      </w:pPr>
      <w:r>
        <w:t>Verzija dokumenta:</w:t>
      </w:r>
      <w:r>
        <w:tab/>
      </w:r>
      <w:r w:rsidR="00B2604F">
        <w:rPr>
          <w:b/>
          <w:bCs/>
        </w:rPr>
        <w:t>1</w:t>
      </w:r>
      <w:r w:rsidR="00DC4114">
        <w:rPr>
          <w:b/>
          <w:bCs/>
        </w:rPr>
        <w:t>.</w:t>
      </w:r>
      <w:r w:rsidR="00002A43">
        <w:rPr>
          <w:b/>
          <w:bCs/>
        </w:rPr>
        <w:t>0</w:t>
      </w:r>
    </w:p>
    <w:p w14:paraId="0AE48DDA" w14:textId="01C00C97" w:rsidR="00E02E3F" w:rsidRDefault="00E02E3F" w:rsidP="00E02E3F">
      <w:pPr>
        <w:tabs>
          <w:tab w:val="left" w:pos="2880"/>
        </w:tabs>
        <w:spacing w:after="0"/>
      </w:pPr>
      <w:r>
        <w:t>Status dokumenta:</w:t>
      </w:r>
      <w:r>
        <w:tab/>
      </w:r>
      <w:r w:rsidR="00AF7640">
        <w:rPr>
          <w:b/>
          <w:bCs/>
        </w:rPr>
        <w:t>Finalno</w:t>
      </w:r>
    </w:p>
    <w:p w14:paraId="04D01A62" w14:textId="327D02A2" w:rsidR="00E02E3F" w:rsidRDefault="00E02E3F" w:rsidP="00E02E3F">
      <w:pPr>
        <w:tabs>
          <w:tab w:val="left" w:pos="2880"/>
        </w:tabs>
        <w:spacing w:after="0"/>
      </w:pPr>
      <w:r>
        <w:t>Izvor:</w:t>
      </w:r>
      <w:r>
        <w:tab/>
      </w:r>
      <w:r w:rsidRPr="00E02E3F">
        <w:rPr>
          <w:b/>
          <w:bCs/>
        </w:rPr>
        <w:t>Mlinar</w:t>
      </w:r>
    </w:p>
    <w:p w14:paraId="00DACE42" w14:textId="6B013566" w:rsidR="00E02E3F" w:rsidRDefault="00E02E3F" w:rsidP="00E02E3F">
      <w:pPr>
        <w:tabs>
          <w:tab w:val="left" w:pos="2880"/>
        </w:tabs>
        <w:spacing w:after="0"/>
      </w:pPr>
      <w:r>
        <w:t>Datum dokumenta:</w:t>
      </w:r>
      <w:r>
        <w:tab/>
      </w:r>
      <w:r w:rsidR="007D732D">
        <w:rPr>
          <w:b/>
          <w:bCs/>
        </w:rPr>
        <w:t>8</w:t>
      </w:r>
      <w:r w:rsidR="00DF0461">
        <w:rPr>
          <w:b/>
          <w:bCs/>
        </w:rPr>
        <w:t>.</w:t>
      </w:r>
      <w:r w:rsidRPr="00E02E3F">
        <w:rPr>
          <w:b/>
          <w:bCs/>
        </w:rPr>
        <w:t xml:space="preserve"> listopada 2020.</w:t>
      </w:r>
    </w:p>
    <w:p w14:paraId="19DA3189" w14:textId="51DCABB6" w:rsidR="00E02E3F" w:rsidRDefault="00E02E3F" w:rsidP="007D174F">
      <w:pPr>
        <w:tabs>
          <w:tab w:val="left" w:pos="2880"/>
        </w:tabs>
        <w:spacing w:after="0"/>
        <w:rPr>
          <w:b/>
          <w:bCs/>
        </w:rPr>
      </w:pPr>
      <w:r>
        <w:t>Broj stranica:</w:t>
      </w:r>
      <w:r>
        <w:tab/>
      </w:r>
      <w:r w:rsidR="007032AD" w:rsidRPr="00EC04A5">
        <w:rPr>
          <w:b/>
          <w:bCs/>
        </w:rPr>
        <w:fldChar w:fldCharType="begin"/>
      </w:r>
      <w:r w:rsidR="007032AD" w:rsidRPr="00EC04A5">
        <w:rPr>
          <w:b/>
          <w:bCs/>
        </w:rPr>
        <w:instrText xml:space="preserve"> NUMPAGES  \# "0"  \* MERGEFORMAT </w:instrText>
      </w:r>
      <w:r w:rsidR="007032AD" w:rsidRPr="00EC04A5">
        <w:rPr>
          <w:b/>
          <w:bCs/>
        </w:rPr>
        <w:fldChar w:fldCharType="separate"/>
      </w:r>
      <w:r w:rsidR="00ED477E">
        <w:rPr>
          <w:b/>
          <w:bCs/>
          <w:noProof/>
        </w:rPr>
        <w:t>10</w:t>
      </w:r>
      <w:r w:rsidR="007032AD" w:rsidRPr="00EC04A5">
        <w:rPr>
          <w:b/>
          <w:bCs/>
        </w:rPr>
        <w:fldChar w:fldCharType="end"/>
      </w:r>
    </w:p>
    <w:p w14:paraId="47E7C1A5" w14:textId="6E6ED604" w:rsidR="00E02E3F" w:rsidRDefault="003A6862" w:rsidP="003A6862">
      <w:pPr>
        <w:pStyle w:val="Naslov1"/>
      </w:pPr>
      <w:bookmarkStart w:id="0" w:name="_Toc56943796"/>
      <w:bookmarkStart w:id="1" w:name="_Toc57273360"/>
      <w:r>
        <w:lastRenderedPageBreak/>
        <w:t>Odobrenja</w:t>
      </w:r>
      <w:bookmarkEnd w:id="0"/>
      <w:bookmarkEnd w:id="1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425"/>
        <w:gridCol w:w="4050"/>
        <w:gridCol w:w="2541"/>
      </w:tblGrid>
      <w:tr w:rsidR="001122F8" w14:paraId="5700C885" w14:textId="77777777" w:rsidTr="006B6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</w:tcPr>
          <w:p w14:paraId="23C41763" w14:textId="461F4423" w:rsidR="001122F8" w:rsidRDefault="001122F8" w:rsidP="003A6862">
            <w:r>
              <w:t>Rola</w:t>
            </w:r>
          </w:p>
        </w:tc>
        <w:tc>
          <w:tcPr>
            <w:tcW w:w="4050" w:type="dxa"/>
          </w:tcPr>
          <w:p w14:paraId="34C206C2" w14:textId="1E17C435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Ime</w:t>
            </w:r>
          </w:p>
        </w:tc>
        <w:tc>
          <w:tcPr>
            <w:tcW w:w="2541" w:type="dxa"/>
          </w:tcPr>
          <w:p w14:paraId="128A197F" w14:textId="14E0E4D0" w:rsidR="001122F8" w:rsidRDefault="001122F8" w:rsidP="003A68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1122F8" w14:paraId="4A32EE06" w14:textId="77777777" w:rsidTr="00112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41976AC" w14:textId="7855AE7E" w:rsidR="001122F8" w:rsidRDefault="00B9446D" w:rsidP="003A6862">
            <w:r>
              <w:t>Član uprave</w:t>
            </w:r>
          </w:p>
        </w:tc>
        <w:tc>
          <w:tcPr>
            <w:tcW w:w="4050" w:type="dxa"/>
          </w:tcPr>
          <w:p w14:paraId="6FEA94F3" w14:textId="38E09E49" w:rsidR="001122F8" w:rsidRDefault="00B9446D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Lena Habuš</w:t>
            </w:r>
          </w:p>
        </w:tc>
        <w:tc>
          <w:tcPr>
            <w:tcW w:w="2541" w:type="dxa"/>
          </w:tcPr>
          <w:p w14:paraId="4A89D3AA" w14:textId="77777777" w:rsidR="001122F8" w:rsidRDefault="001122F8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6120C5" w14:textId="4683D4DC" w:rsidR="00302E3B" w:rsidRDefault="00302E3B" w:rsidP="003A6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22F8" w14:paraId="17F67D00" w14:textId="77777777" w:rsidTr="0011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EE22876" w14:textId="20D1605E" w:rsidR="001122F8" w:rsidRDefault="00B9446D" w:rsidP="003A6862">
            <w:r>
              <w:t>Direktor IT-a</w:t>
            </w:r>
          </w:p>
        </w:tc>
        <w:tc>
          <w:tcPr>
            <w:tcW w:w="4050" w:type="dxa"/>
          </w:tcPr>
          <w:p w14:paraId="6536E6E5" w14:textId="6B0C5600" w:rsidR="001122F8" w:rsidRDefault="00B9446D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Domino Žulj</w:t>
            </w:r>
          </w:p>
        </w:tc>
        <w:tc>
          <w:tcPr>
            <w:tcW w:w="2541" w:type="dxa"/>
          </w:tcPr>
          <w:p w14:paraId="5AA7C50A" w14:textId="77777777" w:rsidR="001122F8" w:rsidRDefault="001122F8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44C998" w14:textId="2489EF23" w:rsidR="00302E3B" w:rsidRDefault="00302E3B" w:rsidP="003A6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1EA52D" w14:textId="4261651D" w:rsidR="001122F8" w:rsidRDefault="001122F8" w:rsidP="003A6862"/>
    <w:p w14:paraId="2D70EF10" w14:textId="77777777" w:rsidR="001122F8" w:rsidRDefault="001122F8" w:rsidP="003A6862"/>
    <w:p w14:paraId="6988F922" w14:textId="45ACC4A8" w:rsidR="00A04460" w:rsidRDefault="00E54840" w:rsidP="00E54840">
      <w:pPr>
        <w:pStyle w:val="Naslov1"/>
      </w:pPr>
      <w:bookmarkStart w:id="2" w:name="_Toc56943797"/>
      <w:bookmarkStart w:id="3" w:name="_Toc57273361"/>
      <w:r>
        <w:lastRenderedPageBreak/>
        <w:t>Izmjene na dokumentu</w:t>
      </w:r>
      <w:bookmarkEnd w:id="2"/>
      <w:bookmarkEnd w:id="3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985"/>
        <w:gridCol w:w="1530"/>
        <w:gridCol w:w="4050"/>
        <w:gridCol w:w="2451"/>
      </w:tblGrid>
      <w:tr w:rsidR="00E75C20" w14:paraId="1D66D39A" w14:textId="77777777" w:rsidTr="00540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</w:tcPr>
          <w:p w14:paraId="031E67FB" w14:textId="34980CD7" w:rsidR="00E75C20" w:rsidRDefault="00E75C20" w:rsidP="00E54840">
            <w:r>
              <w:t>Verzija</w:t>
            </w:r>
          </w:p>
        </w:tc>
        <w:tc>
          <w:tcPr>
            <w:tcW w:w="1530" w:type="dxa"/>
          </w:tcPr>
          <w:p w14:paraId="4087C686" w14:textId="56CEEB54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izmjene</w:t>
            </w:r>
          </w:p>
        </w:tc>
        <w:tc>
          <w:tcPr>
            <w:tcW w:w="4050" w:type="dxa"/>
          </w:tcPr>
          <w:p w14:paraId="33D7E151" w14:textId="1F1077EB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</w:t>
            </w:r>
          </w:p>
        </w:tc>
        <w:tc>
          <w:tcPr>
            <w:tcW w:w="2451" w:type="dxa"/>
          </w:tcPr>
          <w:p w14:paraId="7BEBBAB6" w14:textId="4C908D5F" w:rsidR="00E75C20" w:rsidRDefault="00E75C20" w:rsidP="00E548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Autor(i)</w:t>
            </w:r>
          </w:p>
        </w:tc>
      </w:tr>
      <w:tr w:rsidR="00E75C20" w14:paraId="24FFF9D1" w14:textId="77777777" w:rsidTr="00540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CD07B9D" w14:textId="47104251" w:rsidR="00E75C20" w:rsidRDefault="00E77C01" w:rsidP="00E54840">
            <w:r>
              <w:t>1.0</w:t>
            </w:r>
          </w:p>
        </w:tc>
        <w:tc>
          <w:tcPr>
            <w:tcW w:w="1530" w:type="dxa"/>
          </w:tcPr>
          <w:p w14:paraId="3522E025" w14:textId="2A5D08C5" w:rsidR="00E75C20" w:rsidRDefault="007B09B4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7607EC">
              <w:t>.</w:t>
            </w:r>
            <w:r w:rsidR="00DC4114">
              <w:t>10</w:t>
            </w:r>
            <w:r w:rsidR="007607EC">
              <w:t>.20</w:t>
            </w:r>
            <w:r w:rsidR="00DC4114">
              <w:t>20</w:t>
            </w:r>
          </w:p>
        </w:tc>
        <w:tc>
          <w:tcPr>
            <w:tcW w:w="4050" w:type="dxa"/>
          </w:tcPr>
          <w:p w14:paraId="15FDC86E" w14:textId="40EB1DA7" w:rsidR="00E75C20" w:rsidRDefault="00720969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Kreiranje dokumenta</w:t>
            </w:r>
          </w:p>
        </w:tc>
        <w:tc>
          <w:tcPr>
            <w:tcW w:w="2451" w:type="dxa"/>
          </w:tcPr>
          <w:p w14:paraId="43FEE766" w14:textId="39D0628F" w:rsidR="00E75C20" w:rsidRDefault="00433903" w:rsidP="00E54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 Gošnjić</w:t>
            </w:r>
          </w:p>
        </w:tc>
      </w:tr>
    </w:tbl>
    <w:p w14:paraId="4FFDDDF4" w14:textId="77777777" w:rsidR="003641A2" w:rsidRDefault="003641A2" w:rsidP="00E54840"/>
    <w:p w14:paraId="6F435782" w14:textId="61CAD1DB" w:rsidR="00E54840" w:rsidRDefault="00F74218" w:rsidP="00F74218">
      <w:pPr>
        <w:pStyle w:val="Naslov1"/>
      </w:pPr>
      <w:bookmarkStart w:id="4" w:name="_Toc56943798"/>
      <w:bookmarkStart w:id="5" w:name="_Toc57273362"/>
      <w:r>
        <w:lastRenderedPageBreak/>
        <w:t>Sadržaj</w:t>
      </w:r>
      <w:bookmarkEnd w:id="4"/>
      <w:bookmarkEnd w:id="5"/>
    </w:p>
    <w:p w14:paraId="659308A3" w14:textId="0C77CC98" w:rsidR="00ED477E" w:rsidRDefault="006F6BB9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7273360" w:history="1">
        <w:r w:rsidR="00ED477E" w:rsidRPr="00AB4886">
          <w:rPr>
            <w:rStyle w:val="Hiperveza"/>
            <w:noProof/>
          </w:rPr>
          <w:t>1</w:t>
        </w:r>
        <w:r w:rsidR="00ED477E">
          <w:rPr>
            <w:rFonts w:eastAsiaTheme="minorEastAsia"/>
            <w:noProof/>
            <w:sz w:val="22"/>
            <w:lang w:val="en-US"/>
          </w:rPr>
          <w:tab/>
        </w:r>
        <w:r w:rsidR="00ED477E" w:rsidRPr="00AB4886">
          <w:rPr>
            <w:rStyle w:val="Hiperveza"/>
            <w:noProof/>
          </w:rPr>
          <w:t>Odobrenja</w:t>
        </w:r>
        <w:r w:rsidR="00ED477E">
          <w:rPr>
            <w:noProof/>
            <w:webHidden/>
          </w:rPr>
          <w:tab/>
        </w:r>
        <w:r w:rsidR="00ED477E">
          <w:rPr>
            <w:noProof/>
            <w:webHidden/>
          </w:rPr>
          <w:fldChar w:fldCharType="begin"/>
        </w:r>
        <w:r w:rsidR="00ED477E">
          <w:rPr>
            <w:noProof/>
            <w:webHidden/>
          </w:rPr>
          <w:instrText xml:space="preserve"> PAGEREF _Toc57273360 \h </w:instrText>
        </w:r>
        <w:r w:rsidR="00ED477E">
          <w:rPr>
            <w:noProof/>
            <w:webHidden/>
          </w:rPr>
        </w:r>
        <w:r w:rsidR="00ED477E">
          <w:rPr>
            <w:noProof/>
            <w:webHidden/>
          </w:rPr>
          <w:fldChar w:fldCharType="separate"/>
        </w:r>
        <w:r w:rsidR="00ED477E">
          <w:rPr>
            <w:noProof/>
            <w:webHidden/>
          </w:rPr>
          <w:t>2</w:t>
        </w:r>
        <w:r w:rsidR="00ED477E">
          <w:rPr>
            <w:noProof/>
            <w:webHidden/>
          </w:rPr>
          <w:fldChar w:fldCharType="end"/>
        </w:r>
      </w:hyperlink>
    </w:p>
    <w:p w14:paraId="54BF375F" w14:textId="223C4E34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1" w:history="1">
        <w:r w:rsidRPr="00AB4886">
          <w:rPr>
            <w:rStyle w:val="Hiperveza"/>
            <w:noProof/>
          </w:rPr>
          <w:t>2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Izmjene na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BC0F67" w14:textId="11E5B67D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2" w:history="1">
        <w:r w:rsidRPr="00AB4886">
          <w:rPr>
            <w:rStyle w:val="Hiperveza"/>
            <w:noProof/>
          </w:rPr>
          <w:t>3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Sadržaj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A7BEBB" w14:textId="653C8531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3" w:history="1">
        <w:r w:rsidRPr="00AB4886">
          <w:rPr>
            <w:rStyle w:val="Hiperveza"/>
            <w:noProof/>
          </w:rPr>
          <w:t>4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Pojmovi i kratice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4CDD62" w14:textId="45219716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4" w:history="1">
        <w:r w:rsidRPr="00AB4886">
          <w:rPr>
            <w:rStyle w:val="Hiperveza"/>
            <w:noProof/>
          </w:rPr>
          <w:t>5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4D5BD16" w14:textId="34FD93EB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5" w:history="1">
        <w:r w:rsidRPr="00AB4886">
          <w:rPr>
            <w:rStyle w:val="Hiperveza"/>
            <w:noProof/>
          </w:rPr>
          <w:t>6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Politika pričuvne pohrane podataka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C3CF95" w14:textId="294552AF" w:rsidR="00ED477E" w:rsidRDefault="00ED477E">
      <w:pPr>
        <w:pStyle w:val="Sadraj1"/>
        <w:tabs>
          <w:tab w:val="left" w:pos="440"/>
          <w:tab w:val="right" w:leader="dot" w:pos="9016"/>
        </w:tabs>
        <w:rPr>
          <w:rFonts w:eastAsiaTheme="minorEastAsia"/>
          <w:noProof/>
          <w:sz w:val="22"/>
          <w:lang w:val="en-US"/>
        </w:rPr>
      </w:pPr>
      <w:hyperlink w:anchor="_Toc57273366" w:history="1">
        <w:r w:rsidRPr="00AB4886">
          <w:rPr>
            <w:rStyle w:val="Hiperveza"/>
            <w:noProof/>
          </w:rPr>
          <w:t>7</w:t>
        </w:r>
        <w:r>
          <w:rPr>
            <w:rFonts w:eastAsiaTheme="minorEastAsia"/>
            <w:noProof/>
            <w:sz w:val="22"/>
            <w:lang w:val="en-US"/>
          </w:rPr>
          <w:tab/>
        </w:r>
        <w:r w:rsidRPr="00AB4886">
          <w:rPr>
            <w:rStyle w:val="Hiperveza"/>
            <w:noProof/>
          </w:rPr>
          <w:t>Obveze zaposlenika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_Toc57273366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35DE0FE" w14:textId="40FF51C2" w:rsidR="00ED540E" w:rsidRDefault="006F6BB9" w:rsidP="002525A2">
      <w:r>
        <w:rPr>
          <w:sz w:val="28"/>
        </w:rPr>
        <w:fldChar w:fldCharType="end"/>
      </w:r>
    </w:p>
    <w:p w14:paraId="60100D5C" w14:textId="37A3D011" w:rsidR="002525A2" w:rsidRDefault="002525A2" w:rsidP="002525A2">
      <w:pPr>
        <w:pStyle w:val="Naslov1"/>
      </w:pPr>
      <w:bookmarkStart w:id="6" w:name="_Toc56943799"/>
      <w:bookmarkStart w:id="7" w:name="_Toc57273363"/>
      <w:r>
        <w:lastRenderedPageBreak/>
        <w:t>Pojmovi i kratice</w:t>
      </w:r>
      <w:bookmarkEnd w:id="6"/>
      <w:bookmarkEnd w:id="7"/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272676" w14:paraId="0806961F" w14:textId="77777777" w:rsidTr="00C70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</w:tcPr>
          <w:p w14:paraId="086964FD" w14:textId="6FABACFB" w:rsidR="00272676" w:rsidRDefault="00272676" w:rsidP="00272676">
            <w:r>
              <w:t>Pojam ili kratica</w:t>
            </w:r>
          </w:p>
        </w:tc>
        <w:tc>
          <w:tcPr>
            <w:tcW w:w="6951" w:type="dxa"/>
          </w:tcPr>
          <w:p w14:paraId="4E540312" w14:textId="371CE0E0" w:rsidR="00272676" w:rsidRDefault="00272676" w:rsidP="002726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Objašnjenje</w:t>
            </w:r>
          </w:p>
        </w:tc>
      </w:tr>
      <w:tr w:rsidR="00E7370B" w14:paraId="0B99CFE9" w14:textId="77777777" w:rsidTr="00C70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2C3BA9EE" w14:textId="201A3A6A" w:rsidR="00E7370B" w:rsidRDefault="00BE3810" w:rsidP="00272676">
            <w:r>
              <w:t>Pričuvna pohrana podataka</w:t>
            </w:r>
          </w:p>
        </w:tc>
        <w:tc>
          <w:tcPr>
            <w:tcW w:w="6951" w:type="dxa"/>
          </w:tcPr>
          <w:p w14:paraId="07F2E076" w14:textId="0466F098" w:rsidR="00E7370B" w:rsidRDefault="00BE3810" w:rsidP="0027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Podrazumijeva pohranu podataka programskog rješenja na odvojenim računalnim resursima na istoj i/ili odvojenoj lokaciji od one na kojoj se nalazi izvorno programsko rješenje, a u svrhu mogućnosti povrata podataka u slučjau gubitka podataka izvornog programskog rješenja.</w:t>
            </w:r>
          </w:p>
        </w:tc>
      </w:tr>
    </w:tbl>
    <w:p w14:paraId="2C873A45" w14:textId="77777777" w:rsidR="00272676" w:rsidRPr="00272676" w:rsidRDefault="00272676" w:rsidP="00272676"/>
    <w:p w14:paraId="71B2B363" w14:textId="42E0FDFE" w:rsidR="002525A2" w:rsidRDefault="00DD0B76" w:rsidP="00DD0B76">
      <w:pPr>
        <w:pStyle w:val="Naslov1"/>
      </w:pPr>
      <w:bookmarkStart w:id="8" w:name="_Toc56943800"/>
      <w:bookmarkStart w:id="9" w:name="_Toc57273364"/>
      <w:r>
        <w:lastRenderedPageBreak/>
        <w:t>Uvod</w:t>
      </w:r>
      <w:bookmarkEnd w:id="8"/>
      <w:bookmarkEnd w:id="9"/>
    </w:p>
    <w:p w14:paraId="4C7CE219" w14:textId="57ED67BA" w:rsidR="00DD0B76" w:rsidRDefault="001F1FFE" w:rsidP="008D3C09">
      <w:pPr>
        <w:pStyle w:val="Naslov2"/>
      </w:pPr>
      <w:bookmarkStart w:id="10" w:name="_Toc56943801"/>
      <w:r>
        <w:t>Područje primjene</w:t>
      </w:r>
      <w:bookmarkEnd w:id="10"/>
    </w:p>
    <w:p w14:paraId="46E37C78" w14:textId="77777777" w:rsidR="00735E6C" w:rsidRDefault="001F1FFE" w:rsidP="00A04460">
      <w:r w:rsidRPr="001F1FFE">
        <w:t xml:space="preserve">Ovaj se pravilnik primjenjuje na društvo MLINAR pekarska industrija d.o.o., sa sjedištem u Zagrebu, Radnička cesta 228 c, upisano u sudski registar Trgovačkog suda u Zagrebu pod registarskim brojem (MBS): 010015470, OIB: 62296711978 („Društvo“). </w:t>
      </w:r>
    </w:p>
    <w:p w14:paraId="60DC7254" w14:textId="75FAD6B2" w:rsidR="00A04460" w:rsidRDefault="001F1FFE" w:rsidP="00A04460">
      <w:r w:rsidRPr="001F1FFE">
        <w:t>Primjenjuje se na ukupno osoblje Društva koje se nalazi na svim razinama organizacije, uključujući partnere, ovlaštene osobe, direktore, radnike (bilo trajne, s radnim odnosom na određeno vrijeme ili privremene), konzultante, izvršitelje poslova, pripravnike, studentske praktikante ili bilo koju drugu osobu koja je povezana s Društvom, gdje god da se nalazi (dalje u tekstu skupno: "Osoblje Društva").</w:t>
      </w:r>
    </w:p>
    <w:p w14:paraId="330B66E5" w14:textId="65394B13" w:rsidR="003F3B95" w:rsidRDefault="009D26B1" w:rsidP="00A04460">
      <w:r>
        <w:t>Primjenjuje se za korištenje cjelokupnog informacijskog sustava Društva</w:t>
      </w:r>
      <w:r w:rsidR="005F4FA7">
        <w:t xml:space="preserve"> što uključuje stolna računala, prijenosna računala, mrežne poslužitelje, mrežnu opremu, virtualne mašine, uređaje za pohranu podataka i sl., kao i sva programska rješenja koja su zaštićena zaporkama.</w:t>
      </w:r>
    </w:p>
    <w:p w14:paraId="62020C6A" w14:textId="7C85DFE5" w:rsidR="00B14CB3" w:rsidRDefault="00B14CB3" w:rsidP="00A04460">
      <w:r>
        <w:t>Primjenjuje se, također, i na korištenje bilo kojeg informacijskog sustava koje Osoblje Društva koristi izvan informacijskog sustava društva.</w:t>
      </w:r>
    </w:p>
    <w:p w14:paraId="36EB4675" w14:textId="18519006" w:rsidR="00B14CB3" w:rsidRDefault="0088507F" w:rsidP="00A04460">
      <w:r>
        <w:t>Ova politika predstavlja minimaln</w:t>
      </w:r>
      <w:r w:rsidR="00AF39F6">
        <w:t>i skup pravila u skladu s zahtjevima informacijske sigurnosti.</w:t>
      </w:r>
    </w:p>
    <w:p w14:paraId="780D171F" w14:textId="4664BFBF" w:rsidR="00A04460" w:rsidRDefault="00A04460" w:rsidP="006C085C">
      <w:pPr>
        <w:pStyle w:val="Naslov2"/>
      </w:pPr>
      <w:r>
        <w:tab/>
      </w:r>
      <w:bookmarkStart w:id="11" w:name="_Toc56943802"/>
      <w:r w:rsidR="00993BB1">
        <w:t>Upravljanje i distribucija dokumenta</w:t>
      </w:r>
      <w:bookmarkEnd w:id="11"/>
    </w:p>
    <w:p w14:paraId="221CDA6E" w14:textId="48F50B30" w:rsidR="00993BB1" w:rsidRDefault="00993BB1" w:rsidP="00993BB1">
      <w:r>
        <w:t>Ovaj dokument dostupan je svim zaposlenicima putem Sharepoint poveznice Društva:</w:t>
      </w:r>
    </w:p>
    <w:p w14:paraId="7BBB0B6F" w14:textId="69AAFA73" w:rsidR="00993BB1" w:rsidRDefault="00993BB1" w:rsidP="00993BB1">
      <w:r w:rsidRPr="006B1377">
        <w:rPr>
          <w:highlight w:val="yellow"/>
        </w:rPr>
        <w:t>Link</w:t>
      </w:r>
      <w:r w:rsidR="00A255AA" w:rsidRPr="006B1377">
        <w:rPr>
          <w:highlight w:val="yellow"/>
        </w:rPr>
        <w:t xml:space="preserve"> IT Security</w:t>
      </w:r>
    </w:p>
    <w:p w14:paraId="3C487D07" w14:textId="6500398C" w:rsidR="00993BB1" w:rsidRDefault="00993BB1" w:rsidP="00993BB1">
      <w:r>
        <w:t>Dokument će se pregledati i nadopunjavati najmanje jednom u periodu dvije godine.</w:t>
      </w:r>
    </w:p>
    <w:p w14:paraId="54ACA532" w14:textId="49DEA16F" w:rsidR="00993BB1" w:rsidRDefault="000E050C" w:rsidP="000E050C">
      <w:pPr>
        <w:pStyle w:val="Naslov2"/>
      </w:pPr>
      <w:bookmarkStart w:id="12" w:name="_Toc56943803"/>
      <w:r>
        <w:t>Povezani dokumenti</w:t>
      </w:r>
      <w:bookmarkEnd w:id="12"/>
    </w:p>
    <w:p w14:paraId="7CE3FACF" w14:textId="5966B5B9" w:rsidR="000E050C" w:rsidRDefault="000E050C" w:rsidP="000E050C">
      <w:r>
        <w:t xml:space="preserve">Ovaj dokument je povezan s ostalim dokumentima </w:t>
      </w:r>
      <w:r w:rsidR="00A255AA">
        <w:t>s</w:t>
      </w:r>
      <w:r>
        <w:t>igurnosne politike Društva</w:t>
      </w:r>
      <w:r w:rsidR="00A255AA">
        <w:t xml:space="preserve"> koji </w:t>
      </w:r>
      <w:r w:rsidR="00927C41">
        <w:t>su dostupni putem Sharepoint</w:t>
      </w:r>
      <w:r w:rsidR="00A255AA">
        <w:t xml:space="preserve"> poveznic</w:t>
      </w:r>
      <w:r w:rsidR="00927C41">
        <w:t>e Društva</w:t>
      </w:r>
      <w:r w:rsidR="00A255AA">
        <w:t>:</w:t>
      </w:r>
    </w:p>
    <w:p w14:paraId="54566FD8" w14:textId="2C5E14E2" w:rsidR="00C94268" w:rsidRDefault="00C94268" w:rsidP="00C94268">
      <w:pPr>
        <w:pStyle w:val="Odlomakpopisa"/>
        <w:numPr>
          <w:ilvl w:val="0"/>
          <w:numId w:val="3"/>
        </w:numPr>
      </w:pPr>
      <w:r w:rsidRPr="00C94268">
        <w:t>Mlinar–ITP–008v1.0 - Registar identificiranih rizika (Excel dokument)</w:t>
      </w:r>
    </w:p>
    <w:p w14:paraId="027F1D8D" w14:textId="03720C0B" w:rsidR="00A255AA" w:rsidRDefault="00A255AA" w:rsidP="000E050C">
      <w:r w:rsidRPr="00A255AA">
        <w:rPr>
          <w:highlight w:val="yellow"/>
        </w:rPr>
        <w:t>Link IT Security</w:t>
      </w:r>
    </w:p>
    <w:p w14:paraId="4944BD1D" w14:textId="32C1C987" w:rsidR="00E06892" w:rsidRDefault="00E06892" w:rsidP="00E06892">
      <w:pPr>
        <w:pStyle w:val="Naslov2"/>
      </w:pPr>
      <w:bookmarkStart w:id="13" w:name="_Toc56943804"/>
      <w:r>
        <w:t>Ključne riječi</w:t>
      </w:r>
      <w:bookmarkEnd w:id="13"/>
    </w:p>
    <w:p w14:paraId="4F5CFD7C" w14:textId="558CE259" w:rsidR="00E06892" w:rsidRDefault="00826DE0" w:rsidP="00E06892">
      <w:r>
        <w:t>Istaknute ključne riječi u nastavku dokumenta koriste se sa sljedećim značenjem: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1848F2" w14:paraId="43517C53" w14:textId="77777777" w:rsidTr="001848F2">
        <w:tc>
          <w:tcPr>
            <w:tcW w:w="2065" w:type="dxa"/>
          </w:tcPr>
          <w:p w14:paraId="7632076D" w14:textId="4AFA1345" w:rsidR="001848F2" w:rsidRDefault="001848F2" w:rsidP="00E06892">
            <w:r>
              <w:t>MORA</w:t>
            </w:r>
            <w:r w:rsidR="001D6D0B">
              <w:t>, NE SMIJE</w:t>
            </w:r>
          </w:p>
        </w:tc>
        <w:tc>
          <w:tcPr>
            <w:tcW w:w="6951" w:type="dxa"/>
          </w:tcPr>
          <w:p w14:paraId="7853D64F" w14:textId="13FDB0EE" w:rsidR="001848F2" w:rsidRDefault="00097633" w:rsidP="00E06892">
            <w:r>
              <w:t>Označava da ne postoji dozvoljena iznimka, osim ukoliko je dokumentirana u ovom dokumentu i odobrena od ovlaštene osobe</w:t>
            </w:r>
          </w:p>
        </w:tc>
      </w:tr>
      <w:tr w:rsidR="001848F2" w14:paraId="25FE437F" w14:textId="77777777" w:rsidTr="001848F2">
        <w:tc>
          <w:tcPr>
            <w:tcW w:w="2065" w:type="dxa"/>
          </w:tcPr>
          <w:p w14:paraId="281B5E16" w14:textId="41A44FAF" w:rsidR="001848F2" w:rsidRDefault="001848F2" w:rsidP="00E06892">
            <w:r>
              <w:t>TREBA</w:t>
            </w:r>
          </w:p>
        </w:tc>
        <w:tc>
          <w:tcPr>
            <w:tcW w:w="6951" w:type="dxa"/>
          </w:tcPr>
          <w:p w14:paraId="3CF534FB" w14:textId="2C12199E" w:rsidR="001848F2" w:rsidRDefault="00097633" w:rsidP="00E06892">
            <w:r>
              <w:t>Označava da su dozvoljene iznimke, no MORAJU biti precizno dokumentirane te slijediti postupak procjene rizika odobrene od ovlaštene osobe</w:t>
            </w:r>
          </w:p>
        </w:tc>
      </w:tr>
      <w:tr w:rsidR="001848F2" w14:paraId="0D99530D" w14:textId="77777777" w:rsidTr="001848F2">
        <w:tc>
          <w:tcPr>
            <w:tcW w:w="2065" w:type="dxa"/>
          </w:tcPr>
          <w:p w14:paraId="26702F76" w14:textId="4D06A724" w:rsidR="001848F2" w:rsidRDefault="001848F2" w:rsidP="00E06892">
            <w:r>
              <w:t>MOGU</w:t>
            </w:r>
          </w:p>
        </w:tc>
        <w:tc>
          <w:tcPr>
            <w:tcW w:w="6951" w:type="dxa"/>
          </w:tcPr>
          <w:p w14:paraId="38D990EB" w14:textId="2F5C6421" w:rsidR="001848F2" w:rsidRDefault="001F2E25" w:rsidP="00E06892">
            <w:r>
              <w:t>Označava da je primjena preporuke ili ne primjena iste jednako prihvatljiva</w:t>
            </w:r>
          </w:p>
        </w:tc>
      </w:tr>
      <w:tr w:rsidR="001848F2" w14:paraId="26491B55" w14:textId="77777777" w:rsidTr="001848F2">
        <w:tc>
          <w:tcPr>
            <w:tcW w:w="2065" w:type="dxa"/>
          </w:tcPr>
          <w:p w14:paraId="4E13DEBB" w14:textId="0E769214" w:rsidR="001848F2" w:rsidRDefault="001848F2" w:rsidP="00E06892">
            <w:r>
              <w:t>OBAVEZNO</w:t>
            </w:r>
          </w:p>
        </w:tc>
        <w:tc>
          <w:tcPr>
            <w:tcW w:w="6951" w:type="dxa"/>
          </w:tcPr>
          <w:p w14:paraId="6B5490EF" w14:textId="35F136DD" w:rsidR="001848F2" w:rsidRDefault="001F2E25" w:rsidP="00E06892">
            <w:r>
              <w:t xml:space="preserve">Označava da je definicija apsolutni uvjet navedene specifikacije </w:t>
            </w:r>
            <w:r w:rsidR="00DC2672">
              <w:t>stavke koju opisuje</w:t>
            </w:r>
          </w:p>
        </w:tc>
      </w:tr>
      <w:tr w:rsidR="001848F2" w14:paraId="37CBF338" w14:textId="77777777" w:rsidTr="001848F2">
        <w:tc>
          <w:tcPr>
            <w:tcW w:w="2065" w:type="dxa"/>
          </w:tcPr>
          <w:p w14:paraId="5DAA651E" w14:textId="5FEF7C28" w:rsidR="001848F2" w:rsidRDefault="001848F2" w:rsidP="00E06892">
            <w:r>
              <w:t>PREPORUČENO</w:t>
            </w:r>
          </w:p>
        </w:tc>
        <w:tc>
          <w:tcPr>
            <w:tcW w:w="6951" w:type="dxa"/>
          </w:tcPr>
          <w:p w14:paraId="6CF6168C" w14:textId="067BDF95" w:rsidR="001848F2" w:rsidRDefault="00E0152D" w:rsidP="00E06892">
            <w:r>
              <w:t>Označava da je mogu postojati valjani razlozi i situacije u kojima je moguće ignorirati pojedinu stavku koja se opisuje</w:t>
            </w:r>
          </w:p>
        </w:tc>
      </w:tr>
    </w:tbl>
    <w:p w14:paraId="18D443E1" w14:textId="4AABCF6F" w:rsidR="00826DE0" w:rsidRDefault="00AF4A69" w:rsidP="00463C86">
      <w:pPr>
        <w:pStyle w:val="Naslov1"/>
      </w:pPr>
      <w:bookmarkStart w:id="14" w:name="_Toc56943805"/>
      <w:bookmarkStart w:id="15" w:name="_Toc57273365"/>
      <w:r>
        <w:lastRenderedPageBreak/>
        <w:t xml:space="preserve">Politika </w:t>
      </w:r>
      <w:bookmarkEnd w:id="14"/>
      <w:r w:rsidR="005943F3">
        <w:t>pričuvne pohrane podataka</w:t>
      </w:r>
      <w:bookmarkEnd w:id="15"/>
    </w:p>
    <w:p w14:paraId="0D96BABE" w14:textId="61883A67" w:rsidR="008E7EBB" w:rsidRDefault="00933044" w:rsidP="008E7EBB">
      <w:pPr>
        <w:pStyle w:val="Naslov2"/>
      </w:pPr>
      <w:r>
        <w:t>Općenito o politici</w:t>
      </w:r>
    </w:p>
    <w:p w14:paraId="4D2F1196" w14:textId="580FF0E7" w:rsidR="004D2CFE" w:rsidRDefault="004D2CFE" w:rsidP="004D2CFE">
      <w:r>
        <w:t>U svrhu osiguranja ispunjavanja poslovnih ciljeva te osiguranja kontinuiteta poslovanja, Društvo je definiralo, prihvatilo i prati dokumentirane i provjerene planove i procedure za kreiranje pričuvnih kopija podataka svih ključnih dijelova IT sustava.</w:t>
      </w:r>
    </w:p>
    <w:p w14:paraId="7699C307" w14:textId="06F93333" w:rsidR="00D17C6B" w:rsidRDefault="00AA18C4" w:rsidP="004D2CFE">
      <w:r>
        <w:t xml:space="preserve">Politika pričuvne pohrane podataka naglašava spremnost Društva </w:t>
      </w:r>
      <w:r w:rsidR="006A3379">
        <w:t>za provedbu maksimalno brze tranzicije i najviših standarda kvalitete usluga vezanih pričuvnu pohranu podataka te povrat podataka iz tako nastale pohrane, čime se vlastitim korisnicima, poslovnim aktivnostima, procesima i uslugama osigurava minimalne moguće negativne posljedice</w:t>
      </w:r>
      <w:r w:rsidR="00AA4593">
        <w:t xml:space="preserve"> u slučaju bilo kakvog ispada</w:t>
      </w:r>
      <w:r w:rsidR="006A3379">
        <w:t>.</w:t>
      </w:r>
    </w:p>
    <w:p w14:paraId="0B5631EA" w14:textId="33789934" w:rsidR="0072171D" w:rsidRDefault="0072171D" w:rsidP="004D2CFE">
      <w:r>
        <w:t xml:space="preserve">Ova politika usko je povezana s Politikom upravljanja rizicima IS-a. Preciznije, politika pričuvne pohrane podataka se definira i ažurira s skladu sa svakom promjenom u rizicima za poslovanje Društva evidentiranim u dokumentu </w:t>
      </w:r>
      <w:r w:rsidRPr="0072171D">
        <w:rPr>
          <w:i/>
          <w:iCs/>
        </w:rPr>
        <w:t>Registar identificiranih rizika</w:t>
      </w:r>
      <w:r>
        <w:rPr>
          <w:i/>
          <w:iCs/>
        </w:rPr>
        <w:t>.</w:t>
      </w:r>
    </w:p>
    <w:p w14:paraId="349A2F77" w14:textId="4B19E9E5" w:rsidR="0072171D" w:rsidRDefault="00926E44" w:rsidP="00926E44">
      <w:pPr>
        <w:pStyle w:val="Naslov2"/>
      </w:pPr>
      <w:r>
        <w:t>Svrha politike</w:t>
      </w:r>
    </w:p>
    <w:p w14:paraId="3C2ED20E" w14:textId="2E92ED8C" w:rsidR="00926E44" w:rsidRDefault="00411035" w:rsidP="00926E44">
      <w:r>
        <w:t>Namjena ove politike je identifikacija sredstava kojima se:</w:t>
      </w:r>
    </w:p>
    <w:p w14:paraId="55AFE5C1" w14:textId="669AD04B" w:rsidR="00411035" w:rsidRDefault="007055A2" w:rsidP="00411035">
      <w:pPr>
        <w:pStyle w:val="Odlomakpopisa"/>
        <w:numPr>
          <w:ilvl w:val="0"/>
          <w:numId w:val="3"/>
        </w:numPr>
      </w:pPr>
      <w:r>
        <w:t>Osigurava povrat svih funkcionalnosti pojedinih računalnih sustava, programskih rješenja i pripadajućih podataka u slučaju kvara ili slične neispravnosti na računalnom sklopovlju, programskim rješenjima ili kao posljedica neke vanjske fizičke nepogode (potres, požar, poplava, i sl.)</w:t>
      </w:r>
    </w:p>
    <w:p w14:paraId="5C35C3DB" w14:textId="279A494B" w:rsidR="007055A2" w:rsidRDefault="007055A2" w:rsidP="00411035">
      <w:pPr>
        <w:pStyle w:val="Odlomakpopisa"/>
        <w:numPr>
          <w:ilvl w:val="0"/>
          <w:numId w:val="3"/>
        </w:numPr>
      </w:pPr>
      <w:r>
        <w:t>Osigurava povrat svih funkcionalnosti pojedinih računalnih sustava, programskih rješenja i pripadajućih podataka u slučaju ljudske pogreške ili bilo kojeg drugog izvora gubitaka podataka i dokumenata</w:t>
      </w:r>
    </w:p>
    <w:p w14:paraId="6146F298" w14:textId="50945AB2" w:rsidR="00513BBC" w:rsidRDefault="00513BBC" w:rsidP="00513BBC">
      <w:pPr>
        <w:pStyle w:val="Naslov2"/>
      </w:pPr>
      <w:r>
        <w:t>Primjena politike</w:t>
      </w:r>
    </w:p>
    <w:p w14:paraId="66683DAC" w14:textId="72E7F15E" w:rsidR="00513BBC" w:rsidRDefault="003F5C1F" w:rsidP="00513BBC">
      <w:r>
        <w:t>Politika se primjenjuje na kompletnu IT okolinu  Društva što uključuje, a nije ograničeno samo na:</w:t>
      </w:r>
    </w:p>
    <w:p w14:paraId="344CDA0D" w14:textId="1CCA4701" w:rsidR="00F809F7" w:rsidRDefault="00F809F7" w:rsidP="003F5C1F">
      <w:pPr>
        <w:pStyle w:val="Odlomakpopisa"/>
        <w:numPr>
          <w:ilvl w:val="0"/>
          <w:numId w:val="4"/>
        </w:numPr>
      </w:pPr>
      <w:r>
        <w:t>Računalnu opremu</w:t>
      </w:r>
    </w:p>
    <w:p w14:paraId="47238CF2" w14:textId="7B9F9610" w:rsidR="003F5C1F" w:rsidRDefault="003F5C1F" w:rsidP="003F5C1F">
      <w:pPr>
        <w:pStyle w:val="Odlomakpopisa"/>
        <w:numPr>
          <w:ilvl w:val="0"/>
          <w:numId w:val="4"/>
        </w:numPr>
      </w:pPr>
      <w:r>
        <w:t>Mrežne poslužitelje</w:t>
      </w:r>
    </w:p>
    <w:p w14:paraId="69D91F1A" w14:textId="117FD25D" w:rsidR="003F5C1F" w:rsidRDefault="003F5C1F" w:rsidP="003F5C1F">
      <w:pPr>
        <w:pStyle w:val="Odlomakpopisa"/>
        <w:numPr>
          <w:ilvl w:val="0"/>
          <w:numId w:val="4"/>
        </w:numPr>
      </w:pPr>
      <w:r>
        <w:t>Mrežnu i telekomunikacijsku opremu</w:t>
      </w:r>
    </w:p>
    <w:p w14:paraId="6FB5ED42" w14:textId="6674587A" w:rsidR="003F5C1F" w:rsidRDefault="003F5C1F" w:rsidP="003F5C1F">
      <w:pPr>
        <w:pStyle w:val="Odlomakpopisa"/>
        <w:numPr>
          <w:ilvl w:val="0"/>
          <w:numId w:val="4"/>
        </w:numPr>
      </w:pPr>
      <w:r>
        <w:t>Programska rješenja</w:t>
      </w:r>
    </w:p>
    <w:p w14:paraId="18733224" w14:textId="0D396089" w:rsidR="003F5C1F" w:rsidRDefault="003F5C1F" w:rsidP="003F5C1F">
      <w:pPr>
        <w:pStyle w:val="Odlomakpopisa"/>
        <w:numPr>
          <w:ilvl w:val="0"/>
          <w:numId w:val="4"/>
        </w:numPr>
      </w:pPr>
      <w:r>
        <w:t>Poslovne podatke Osoblja Društva</w:t>
      </w:r>
    </w:p>
    <w:p w14:paraId="6D39311F" w14:textId="6FB5B53C" w:rsidR="00466AFC" w:rsidRDefault="007D688D" w:rsidP="00CA7930">
      <w:pPr>
        <w:pStyle w:val="Naslov2"/>
      </w:pPr>
      <w:r>
        <w:t>Privatnost</w:t>
      </w:r>
    </w:p>
    <w:p w14:paraId="28F6B8EF" w14:textId="5BC8D919" w:rsidR="007D688D" w:rsidRDefault="007D688D" w:rsidP="007D688D">
      <w:r>
        <w:t xml:space="preserve">Politika pričuvne pohrane podataka </w:t>
      </w:r>
      <w:r w:rsidR="005C2A15">
        <w:t xml:space="preserve">je dokument koji MORA imati oznaku povjerljivosti: POVJERLJIVO te treba biti dostupan isključivo osobama s odgovarajućom </w:t>
      </w:r>
      <w:r w:rsidR="0013112D">
        <w:t xml:space="preserve">odobrenom </w:t>
      </w:r>
      <w:r w:rsidR="005C2A15">
        <w:t>razinom pristupa.</w:t>
      </w:r>
    </w:p>
    <w:p w14:paraId="4563E5AF" w14:textId="7EC5666F" w:rsidR="00D125DA" w:rsidRDefault="00D125DA" w:rsidP="00E5416B">
      <w:pPr>
        <w:pStyle w:val="Naslov2"/>
      </w:pPr>
      <w:r>
        <w:lastRenderedPageBreak/>
        <w:t>Arhitektura procesa pričuvne pohrane podataka</w:t>
      </w:r>
    </w:p>
    <w:p w14:paraId="75F79EC4" w14:textId="3F420877" w:rsidR="00E5416B" w:rsidRPr="00E5416B" w:rsidRDefault="00F15FCA" w:rsidP="00E5416B">
      <w:r w:rsidRPr="00F15FCA">
        <w:rPr>
          <w:noProof/>
        </w:rPr>
        <w:drawing>
          <wp:inline distT="0" distB="0" distL="0" distR="0" wp14:anchorId="634B9053" wp14:editId="5801DB1A">
            <wp:extent cx="5731510" cy="31686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82C4" w14:textId="50205E99" w:rsidR="00513BBC" w:rsidRDefault="00464591" w:rsidP="00B91FAC">
      <w:pPr>
        <w:pStyle w:val="Naslov3"/>
      </w:pPr>
      <w:r>
        <w:t>Mrežni poslužitelji</w:t>
      </w:r>
    </w:p>
    <w:p w14:paraId="2C1D7086" w14:textId="2177D1DB" w:rsidR="00D500FB" w:rsidRDefault="00D500FB" w:rsidP="00D500FB">
      <w:r>
        <w:t>U upotrebi je 16 virtualnih mrežnih poslužitelja (servera) koji rade na 5 fizičkih mrežnih poslužitelja od kojih su 4 mrežna poslužitelja raspodjelena u 2 clustera. Poslužitelji u clusteru osiguravaju otpornost i mogućnost nastavkla rada u slučaju otkazivanja jednog od dva poslužitelja u clusteru ili neke od komponeneti poslužitelja.</w:t>
      </w:r>
    </w:p>
    <w:p w14:paraId="30174633" w14:textId="77777777" w:rsidR="006D6985" w:rsidRDefault="00D500FB" w:rsidP="00D500FB">
      <w:r>
        <w:t xml:space="preserve">Virtualni </w:t>
      </w:r>
      <w:r w:rsidR="00D5184A">
        <w:t xml:space="preserve">mrežni poslužitelji </w:t>
      </w:r>
      <w:r>
        <w:t xml:space="preserve">se repliciraju na 2 fizička </w:t>
      </w:r>
      <w:r w:rsidR="00D5184A">
        <w:t>mrežna poslužitelja</w:t>
      </w:r>
      <w:r>
        <w:t xml:space="preserve"> svakih 5 do 15 minuta s mogućnosti povratka u bilo koju točku unutar </w:t>
      </w:r>
      <w:r w:rsidR="00D5184A">
        <w:t xml:space="preserve">prethodnih </w:t>
      </w:r>
      <w:r>
        <w:t xml:space="preserve">24 sata. </w:t>
      </w:r>
    </w:p>
    <w:p w14:paraId="00729A54" w14:textId="3ACB9B72" w:rsidR="00D500FB" w:rsidRDefault="00D500FB" w:rsidP="00D500FB">
      <w:r>
        <w:t>Ovo je failover rješenje koje nam omogućava da je server u slučaju kvara spreman u roku par minuta za nastavak rada</w:t>
      </w:r>
      <w:r w:rsidR="00AB2668">
        <w:t xml:space="preserve"> u punoj svojoj funkcionalnosti.</w:t>
      </w:r>
    </w:p>
    <w:p w14:paraId="7D23F3DC" w14:textId="012A9DCD" w:rsidR="00AB2668" w:rsidRDefault="00EE3119" w:rsidP="00464591">
      <w:pPr>
        <w:pStyle w:val="Naslov3"/>
      </w:pPr>
      <w:r>
        <w:t xml:space="preserve">Uređaji za pohranu podataka </w:t>
      </w:r>
    </w:p>
    <w:p w14:paraId="5AF47DDD" w14:textId="5087B48D" w:rsidR="00EE3119" w:rsidRDefault="00CA19B1" w:rsidP="00EE3119">
      <w:r>
        <w:t>U upotrebi su dva uređaja za pohranu podataka (storage) koji se sastoje od dupliciranih kontrolera diskovnog prostora, te od virtualno kreiranih diskovnih polja s osiguranjem redundantnosti podataka (RAID).</w:t>
      </w:r>
    </w:p>
    <w:p w14:paraId="0126710C" w14:textId="2B17EE91" w:rsidR="006D6985" w:rsidRDefault="0085752E" w:rsidP="00EE3119">
      <w:r>
        <w:t>Ovo rješenje osigurava mogućnost pristupa podacima i u slučaju otkazivanja pojedinog kontrolera diskovnog prostora, kao i od fizičkog otkazivanja pojedinih diskova s podacima.</w:t>
      </w:r>
    </w:p>
    <w:p w14:paraId="5027FCBA" w14:textId="504B6AFA" w:rsidR="009A23AF" w:rsidRPr="00EE3119" w:rsidRDefault="009A23AF" w:rsidP="009A23AF">
      <w:pPr>
        <w:pStyle w:val="Naslov3"/>
      </w:pPr>
      <w:r>
        <w:t>Uređaji za pohranu pričuvnih podataka</w:t>
      </w:r>
    </w:p>
    <w:p w14:paraId="6A876290" w14:textId="42AF5D4F" w:rsidR="00D82854" w:rsidRDefault="00D500FB" w:rsidP="00D500FB">
      <w:r>
        <w:t xml:space="preserve">NAS uređaj služi za dnevni </w:t>
      </w:r>
      <w:r w:rsidR="00DF1C7B">
        <w:t xml:space="preserve">kreiranje pričuvne pohrane podataka svih virtualnih mrežnih poslužitelja te  </w:t>
      </w:r>
      <w:r>
        <w:t xml:space="preserve"> dokumenata i mailova od korisnika </w:t>
      </w:r>
      <w:r w:rsidR="00DF1C7B">
        <w:t>paketa Microsoft O</w:t>
      </w:r>
      <w:r>
        <w:t>ffic</w:t>
      </w:r>
      <w:r w:rsidR="00DF1C7B">
        <w:t>e</w:t>
      </w:r>
      <w:r>
        <w:t xml:space="preserve"> 365. </w:t>
      </w:r>
    </w:p>
    <w:p w14:paraId="247FC922" w14:textId="4CD6DF17" w:rsidR="00D82854" w:rsidRDefault="000B3862" w:rsidP="00D82854">
      <w:pPr>
        <w:pStyle w:val="Naslov3"/>
      </w:pPr>
      <w:r>
        <w:t>Pravilo</w:t>
      </w:r>
      <w:r w:rsidR="00D82854">
        <w:t xml:space="preserve"> kreiranja pričuvne pohrane podataka</w:t>
      </w:r>
    </w:p>
    <w:p w14:paraId="007EBC12" w14:textId="4A00BEE6" w:rsidR="008D4055" w:rsidRDefault="00D500FB" w:rsidP="00D82854">
      <w:r>
        <w:t xml:space="preserve">Jednom u tjednu </w:t>
      </w:r>
      <w:r w:rsidR="00D82854">
        <w:t xml:space="preserve">kreira se pričuvna pohrana punog skupa podataka, dok je ostalih </w:t>
      </w:r>
      <w:r>
        <w:t xml:space="preserve">dana </w:t>
      </w:r>
      <w:r w:rsidR="00D82854">
        <w:t xml:space="preserve">kreira pričuvna pohrana samo dodatnih podataka nastalih ili izmijenjenih od prethodnog kreiranja pričuvne pohrane podataka (incremental backup). </w:t>
      </w:r>
    </w:p>
    <w:p w14:paraId="6AD447DC" w14:textId="75606093" w:rsidR="00D7248C" w:rsidRDefault="00D7248C" w:rsidP="00D7248C">
      <w:r>
        <w:lastRenderedPageBreak/>
        <w:t>NAS uređaji na koje se spremaju pričuvni podaci koriste se na dvije fizički odvojene lokacije: Zagreb i Osijek kako bi se poštivala najbolje prepoznate prakse Pohrane pričuvnih podataka, „3-2-1 Backup Policy“:</w:t>
      </w:r>
    </w:p>
    <w:p w14:paraId="6CD5B9D5" w14:textId="473B8FDD" w:rsidR="00D7248C" w:rsidRDefault="00D7248C" w:rsidP="00D7248C">
      <w:pPr>
        <w:pStyle w:val="Odlomakpopisa"/>
        <w:numPr>
          <w:ilvl w:val="0"/>
          <w:numId w:val="5"/>
        </w:numPr>
      </w:pPr>
      <w:r>
        <w:t xml:space="preserve">Kreiranje minimalno </w:t>
      </w:r>
      <w:r w:rsidRPr="00D7248C">
        <w:rPr>
          <w:b/>
          <w:bCs/>
        </w:rPr>
        <w:t>3</w:t>
      </w:r>
      <w:r>
        <w:t xml:space="preserve"> pričuvne kopije podataka (Društvo: 4 kopije)</w:t>
      </w:r>
    </w:p>
    <w:p w14:paraId="6B657279" w14:textId="2429797D" w:rsidR="00D7248C" w:rsidRDefault="00D7248C" w:rsidP="00D7248C">
      <w:pPr>
        <w:pStyle w:val="Odlomakpopisa"/>
        <w:numPr>
          <w:ilvl w:val="0"/>
          <w:numId w:val="5"/>
        </w:numPr>
      </w:pPr>
      <w:r>
        <w:t xml:space="preserve">Čuvanje na minimalno </w:t>
      </w:r>
      <w:r w:rsidRPr="00D7248C">
        <w:rPr>
          <w:b/>
          <w:bCs/>
        </w:rPr>
        <w:t>2</w:t>
      </w:r>
      <w:r>
        <w:t xml:space="preserve"> različita medija  (Društvo: 3 medija)</w:t>
      </w:r>
    </w:p>
    <w:p w14:paraId="3806B0AA" w14:textId="7F580E01" w:rsidR="00D7248C" w:rsidRDefault="00D7248C" w:rsidP="00D7248C">
      <w:pPr>
        <w:pStyle w:val="Odlomakpopisa"/>
        <w:numPr>
          <w:ilvl w:val="0"/>
          <w:numId w:val="5"/>
        </w:numPr>
      </w:pPr>
      <w:r>
        <w:t xml:space="preserve">Čuvanje minimalno </w:t>
      </w:r>
      <w:r w:rsidRPr="00D7248C">
        <w:rPr>
          <w:b/>
          <w:bCs/>
        </w:rPr>
        <w:t>1</w:t>
      </w:r>
      <w:r>
        <w:rPr>
          <w:b/>
          <w:bCs/>
        </w:rPr>
        <w:t xml:space="preserve"> </w:t>
      </w:r>
      <w:r w:rsidRPr="00D7248C">
        <w:t xml:space="preserve">kopije na </w:t>
      </w:r>
      <w:r>
        <w:t>izdvojenoj lokaciji (Društvo: 1 izdvojena lokacija)</w:t>
      </w:r>
    </w:p>
    <w:p w14:paraId="701E2BA1" w14:textId="77777777" w:rsidR="00D7248C" w:rsidRDefault="00D7248C" w:rsidP="00D7248C"/>
    <w:p w14:paraId="19A85BBE" w14:textId="77777777" w:rsidR="00D7248C" w:rsidRDefault="00D7248C" w:rsidP="00D82854"/>
    <w:p w14:paraId="0A31C09E" w14:textId="77777777" w:rsidR="00EA06A4" w:rsidRDefault="00EA06A4" w:rsidP="00D82854"/>
    <w:p w14:paraId="09D131FC" w14:textId="77777777" w:rsidR="00476A69" w:rsidRPr="008D4055" w:rsidRDefault="00476A69" w:rsidP="00D82854"/>
    <w:p w14:paraId="16063741" w14:textId="77777777" w:rsidR="008E7EBB" w:rsidRPr="008E7EBB" w:rsidRDefault="008E7EBB" w:rsidP="008E7EBB"/>
    <w:p w14:paraId="623BB719" w14:textId="3197D58F" w:rsidR="00A3495F" w:rsidRPr="00A3495F" w:rsidRDefault="00A3495F" w:rsidP="00A3495F"/>
    <w:p w14:paraId="284A39ED" w14:textId="77777777" w:rsidR="00B35810" w:rsidRPr="00B35810" w:rsidRDefault="00B35810" w:rsidP="00B35810"/>
    <w:p w14:paraId="360EFF2C" w14:textId="26210606" w:rsidR="00AD3DA7" w:rsidRDefault="00AD3DA7" w:rsidP="005F004C">
      <w:pPr>
        <w:pStyle w:val="Naslov1"/>
      </w:pPr>
      <w:bookmarkStart w:id="16" w:name="_Toc56943807"/>
      <w:bookmarkStart w:id="17" w:name="_Toc57273366"/>
      <w:r>
        <w:lastRenderedPageBreak/>
        <w:t>Obveze zaposlenika</w:t>
      </w:r>
      <w:bookmarkEnd w:id="16"/>
      <w:bookmarkEnd w:id="17"/>
    </w:p>
    <w:p w14:paraId="69136648" w14:textId="77777777" w:rsidR="0026750D" w:rsidRPr="0026750D" w:rsidRDefault="0026750D" w:rsidP="0026750D">
      <w:r w:rsidRPr="0026750D">
        <w:t xml:space="preserve">Društvo treba imenovati osobu koja je odgovorna za informacijsku sigurnosti (Information security) i kontinuitet poslovanja (business continuity). Za obnašanje predmetne odgovornosti može biti imenovana jedna osoba, a moguće je da se imenuju i dvije odvojene osobe, pri čemu će jedna biti zadužena za informacijsku sigurnost, a druga za kontinuitet poslovanja. </w:t>
      </w:r>
    </w:p>
    <w:p w14:paraId="2847BC43" w14:textId="77777777" w:rsidR="0026750D" w:rsidRPr="0026750D" w:rsidRDefault="0026750D" w:rsidP="0026750D">
      <w:r w:rsidRPr="0026750D">
        <w:t>Osoba imenovana za informacijsku sigurnost i kontinuitet poslovanja dužna je u suradnji s Koordinatorom za upravljanje rizicima aktivno provoditi ovu politike, istu implementirati, ažurirati i unaprjeđivati.</w:t>
      </w:r>
    </w:p>
    <w:p w14:paraId="7620AA8A" w14:textId="630E2397" w:rsidR="00222278" w:rsidRPr="0093520B" w:rsidRDefault="0026750D" w:rsidP="0026750D">
      <w:r w:rsidRPr="0026750D">
        <w:t>Svaka povreda zahtjeva propisanih ovom Politikom od strane osoba zaduženih za njihovo provođenje, bilo iz namjere ili iz krajnje nepažnje smatrat će se  osobito teškom povredom radne obveze, u pogledu koje se mogu izreći sankcije sukladno Pravilniku o radu i primjenjivim propisima.</w:t>
      </w:r>
    </w:p>
    <w:sectPr w:rsidR="00222278" w:rsidRPr="0093520B" w:rsidSect="003A6862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DEF5" w14:textId="77777777" w:rsidR="00E02E3F" w:rsidRDefault="00E02E3F" w:rsidP="00E02E3F">
      <w:pPr>
        <w:spacing w:after="0" w:line="240" w:lineRule="auto"/>
      </w:pPr>
      <w:r>
        <w:separator/>
      </w:r>
    </w:p>
  </w:endnote>
  <w:endnote w:type="continuationSeparator" w:id="0">
    <w:p w14:paraId="64A0A152" w14:textId="77777777" w:rsidR="00E02E3F" w:rsidRDefault="00E02E3F" w:rsidP="00E0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99EC" w14:textId="4572E467" w:rsidR="00AF2CFE" w:rsidRDefault="00AF2CFE">
    <w:pPr>
      <w:pStyle w:val="Podnoje"/>
      <w:pBdr>
        <w:bottom w:val="single" w:sz="6" w:space="1" w:color="auto"/>
      </w:pBdr>
      <w:rPr>
        <w:b/>
        <w:bCs/>
        <w:sz w:val="16"/>
        <w:szCs w:val="16"/>
      </w:rPr>
    </w:pPr>
  </w:p>
  <w:p w14:paraId="4FFC8CD3" w14:textId="3820AB9B" w:rsidR="00C70DD5" w:rsidRPr="00D3755E" w:rsidRDefault="00C70DD5">
    <w:pPr>
      <w:pStyle w:val="Podnoje"/>
      <w:rPr>
        <w:b/>
        <w:bCs/>
        <w:sz w:val="16"/>
        <w:szCs w:val="16"/>
      </w:rPr>
    </w:pPr>
    <w:r w:rsidRPr="00D3755E">
      <w:rPr>
        <w:b/>
        <w:bCs/>
        <w:sz w:val="16"/>
        <w:szCs w:val="16"/>
      </w:rPr>
      <w:t>Mlinar</w:t>
    </w:r>
    <w:r w:rsidR="00CF0A68">
      <w:rPr>
        <w:b/>
        <w:bCs/>
        <w:sz w:val="16"/>
        <w:szCs w:val="16"/>
      </w:rPr>
      <w:t xml:space="preserve"> pekarska industrija d.o.o.</w:t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tab/>
    </w:r>
    <w:r w:rsidRPr="00D3755E">
      <w:rPr>
        <w:b/>
        <w:bCs/>
        <w:sz w:val="16"/>
        <w:szCs w:val="16"/>
      </w:rPr>
      <w:fldChar w:fldCharType="begin"/>
    </w:r>
    <w:r w:rsidRPr="00D3755E">
      <w:rPr>
        <w:b/>
        <w:bCs/>
        <w:sz w:val="16"/>
        <w:szCs w:val="16"/>
      </w:rPr>
      <w:instrText xml:space="preserve"> PAGE   \* MERGEFORMAT </w:instrText>
    </w:r>
    <w:r w:rsidRPr="00D3755E">
      <w:rPr>
        <w:b/>
        <w:bCs/>
        <w:sz w:val="16"/>
        <w:szCs w:val="16"/>
      </w:rPr>
      <w:fldChar w:fldCharType="separate"/>
    </w:r>
    <w:r w:rsidRPr="00D3755E">
      <w:rPr>
        <w:b/>
        <w:bCs/>
        <w:noProof/>
        <w:sz w:val="16"/>
        <w:szCs w:val="16"/>
      </w:rPr>
      <w:t>1</w:t>
    </w:r>
    <w:r w:rsidRPr="00D3755E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D648" w14:textId="77777777" w:rsidR="00E02E3F" w:rsidRDefault="00E02E3F" w:rsidP="00E02E3F">
      <w:pPr>
        <w:spacing w:after="0" w:line="240" w:lineRule="auto"/>
      </w:pPr>
      <w:r>
        <w:separator/>
      </w:r>
    </w:p>
  </w:footnote>
  <w:footnote w:type="continuationSeparator" w:id="0">
    <w:p w14:paraId="1879494A" w14:textId="77777777" w:rsidR="00E02E3F" w:rsidRDefault="00E02E3F" w:rsidP="00E0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814A" w14:textId="3D359CF0" w:rsidR="00FF5B90" w:rsidRDefault="00F26438" w:rsidP="00FF5B90">
    <w:pPr>
      <w:pStyle w:val="Zaglavlje"/>
      <w:pBdr>
        <w:bottom w:val="single" w:sz="4" w:space="1" w:color="auto"/>
      </w:pBdr>
    </w:pPr>
    <w:r w:rsidRPr="00F26438">
      <w:t xml:space="preserve">Politika </w:t>
    </w:r>
    <w:r w:rsidR="00FD5585">
      <w:t>pričuvne pohrane podataka</w:t>
    </w:r>
    <w:r w:rsidR="00402F14">
      <w:tab/>
    </w:r>
    <w:r w:rsidR="00FF5B90">
      <w:tab/>
    </w:r>
    <w:r w:rsidR="00FF5B90">
      <w:rPr>
        <w:noProof/>
      </w:rPr>
      <w:drawing>
        <wp:inline distT="0" distB="0" distL="0" distR="0" wp14:anchorId="055EF559" wp14:editId="7D4BA173">
          <wp:extent cx="894810" cy="200158"/>
          <wp:effectExtent l="0" t="0" r="635" b="9525"/>
          <wp:docPr id="1" name="Picture 1" descr="Mlinar | Shopping centar Zadar | Super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linar | Shopping centar Zadar | Superno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877" cy="218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CA46" w14:textId="6D75D5DE" w:rsidR="00FF5B90" w:rsidRPr="00A2304F" w:rsidRDefault="00A2304F" w:rsidP="00D3755E">
    <w:pPr>
      <w:pStyle w:val="Zaglavlje"/>
      <w:tabs>
        <w:tab w:val="clear" w:pos="9072"/>
        <w:tab w:val="right" w:pos="9000"/>
      </w:tabs>
      <w:rPr>
        <w:b/>
        <w:bCs/>
        <w:sz w:val="16"/>
        <w:szCs w:val="16"/>
      </w:rPr>
    </w:pPr>
    <w:r w:rsidRPr="00A2304F">
      <w:rPr>
        <w:sz w:val="16"/>
        <w:szCs w:val="16"/>
      </w:rPr>
      <w:t>Verzija:</w:t>
    </w:r>
    <w:r w:rsidR="00606AF1">
      <w:rPr>
        <w:sz w:val="16"/>
        <w:szCs w:val="16"/>
      </w:rPr>
      <w:t>1.</w:t>
    </w:r>
    <w:r w:rsidR="00220161">
      <w:rPr>
        <w:sz w:val="16"/>
        <w:szCs w:val="16"/>
      </w:rPr>
      <w:t>0</w:t>
    </w:r>
    <w:r w:rsidR="00FF5B90" w:rsidRPr="00A2304F">
      <w:rPr>
        <w:sz w:val="16"/>
        <w:szCs w:val="16"/>
      </w:rPr>
      <w:tab/>
    </w:r>
    <w:r w:rsidR="00FF5B90" w:rsidRPr="00A2304F">
      <w:rPr>
        <w:b/>
        <w:bCs/>
        <w:sz w:val="16"/>
        <w:szCs w:val="16"/>
      </w:rPr>
      <w:t>za internu uporabu</w:t>
    </w:r>
    <w:r w:rsidRPr="00A2304F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2304F">
      <w:rPr>
        <w:b/>
        <w:bCs/>
        <w:sz w:val="16"/>
        <w:szCs w:val="16"/>
      </w:rPr>
      <w:t>Mlinar-ITP-00</w:t>
    </w:r>
    <w:r w:rsidR="00173AA4">
      <w:rPr>
        <w:b/>
        <w:bCs/>
        <w:sz w:val="16"/>
        <w:szCs w:val="16"/>
      </w:rPr>
      <w:t>6</w:t>
    </w:r>
    <w:r w:rsidR="006D213B">
      <w:rPr>
        <w:b/>
        <w:bCs/>
        <w:sz w:val="16"/>
        <w:szCs w:val="16"/>
      </w:rPr>
      <w:t>v1.</w:t>
    </w:r>
    <w:r w:rsidR="00220161">
      <w:rPr>
        <w:b/>
        <w:bCs/>
        <w:sz w:val="16"/>
        <w:szCs w:val="16"/>
      </w:rPr>
      <w:t>0</w:t>
    </w:r>
    <w:r w:rsidRPr="00A2304F">
      <w:rPr>
        <w:b/>
        <w:bCs/>
        <w:sz w:val="16"/>
        <w:szCs w:val="16"/>
      </w:rPr>
      <w:tab/>
    </w:r>
    <w:r w:rsidR="00FF5B90" w:rsidRPr="00A2304F">
      <w:rPr>
        <w:b/>
        <w:bCs/>
        <w:sz w:val="16"/>
        <w:szCs w:val="16"/>
      </w:rPr>
      <w:tab/>
    </w:r>
  </w:p>
  <w:p w14:paraId="447C55F8" w14:textId="14C3C261" w:rsidR="003A6862" w:rsidRDefault="00C70DD5">
    <w:pPr>
      <w:pStyle w:val="Zaglavlje"/>
    </w:pPr>
    <w:r>
      <w:fldChar w:fldCharType="begin"/>
    </w:r>
    <w:r>
      <w:instrText xml:space="preserve"> TITLE  \* Caps  \* MERGEFORMAT </w:instrText>
    </w:r>
    <w:r>
      <w:fldChar w:fldCharType="end"/>
    </w:r>
    <w:r w:rsidR="00A04460">
      <w:fldChar w:fldCharType="begin"/>
    </w:r>
    <w:r w:rsidR="00A04460">
      <w:instrText xml:space="preserve"> TITLE  \* Caps  \* MERGEFORMAT </w:instrText>
    </w:r>
    <w:r w:rsidR="00A04460">
      <w:fldChar w:fldCharType="end"/>
    </w:r>
    <w:r w:rsidR="003A6862">
      <w:fldChar w:fldCharType="begin"/>
    </w:r>
    <w:r w:rsidR="003A6862">
      <w:instrText xml:space="preserve"> TITLE   \* MERGEFORMAT </w:instrText>
    </w:r>
    <w:r w:rsidR="003A6862">
      <w:fldChar w:fldCharType="end"/>
    </w:r>
    <w:r w:rsidR="003A6862">
      <w:tab/>
    </w:r>
    <w:r w:rsidR="003A68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1D6"/>
    <w:multiLevelType w:val="multilevel"/>
    <w:tmpl w:val="0409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AD2380"/>
    <w:multiLevelType w:val="hybridMultilevel"/>
    <w:tmpl w:val="2446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33F97"/>
    <w:multiLevelType w:val="hybridMultilevel"/>
    <w:tmpl w:val="B01A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25650"/>
    <w:multiLevelType w:val="hybridMultilevel"/>
    <w:tmpl w:val="251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30A2"/>
    <w:multiLevelType w:val="hybridMultilevel"/>
    <w:tmpl w:val="C2F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6327">
    <w:abstractNumId w:val="0"/>
  </w:num>
  <w:num w:numId="2" w16cid:durableId="274145080">
    <w:abstractNumId w:val="4"/>
  </w:num>
  <w:num w:numId="3" w16cid:durableId="136535841">
    <w:abstractNumId w:val="2"/>
  </w:num>
  <w:num w:numId="4" w16cid:durableId="839002371">
    <w:abstractNumId w:val="3"/>
  </w:num>
  <w:num w:numId="5" w16cid:durableId="156837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FB"/>
    <w:rsid w:val="00002A43"/>
    <w:rsid w:val="000147A4"/>
    <w:rsid w:val="00032F3D"/>
    <w:rsid w:val="000342C5"/>
    <w:rsid w:val="000354CD"/>
    <w:rsid w:val="00043048"/>
    <w:rsid w:val="0005522A"/>
    <w:rsid w:val="00063C51"/>
    <w:rsid w:val="00064EAA"/>
    <w:rsid w:val="000803CD"/>
    <w:rsid w:val="00086635"/>
    <w:rsid w:val="00087FA3"/>
    <w:rsid w:val="00097633"/>
    <w:rsid w:val="000B16DC"/>
    <w:rsid w:val="000B3862"/>
    <w:rsid w:val="000D3229"/>
    <w:rsid w:val="000D6CEC"/>
    <w:rsid w:val="000E050C"/>
    <w:rsid w:val="000F6BC5"/>
    <w:rsid w:val="001122F8"/>
    <w:rsid w:val="00116AAD"/>
    <w:rsid w:val="0013112D"/>
    <w:rsid w:val="001359A2"/>
    <w:rsid w:val="00173AA4"/>
    <w:rsid w:val="001848F2"/>
    <w:rsid w:val="001B08CD"/>
    <w:rsid w:val="001B3F79"/>
    <w:rsid w:val="001D6D0B"/>
    <w:rsid w:val="001F1FFE"/>
    <w:rsid w:val="001F2E25"/>
    <w:rsid w:val="001F3407"/>
    <w:rsid w:val="0020425B"/>
    <w:rsid w:val="00206A39"/>
    <w:rsid w:val="00215D82"/>
    <w:rsid w:val="00220161"/>
    <w:rsid w:val="00222278"/>
    <w:rsid w:val="002418F3"/>
    <w:rsid w:val="002525A2"/>
    <w:rsid w:val="0026750D"/>
    <w:rsid w:val="00272676"/>
    <w:rsid w:val="00276950"/>
    <w:rsid w:val="00280CD2"/>
    <w:rsid w:val="00283F4F"/>
    <w:rsid w:val="002A3D22"/>
    <w:rsid w:val="002B660E"/>
    <w:rsid w:val="002D2CDD"/>
    <w:rsid w:val="002F01F9"/>
    <w:rsid w:val="00302E3B"/>
    <w:rsid w:val="0032670B"/>
    <w:rsid w:val="00340BC3"/>
    <w:rsid w:val="003460D9"/>
    <w:rsid w:val="0035179B"/>
    <w:rsid w:val="00354069"/>
    <w:rsid w:val="00354F86"/>
    <w:rsid w:val="003603CF"/>
    <w:rsid w:val="003641A2"/>
    <w:rsid w:val="00365671"/>
    <w:rsid w:val="00370F43"/>
    <w:rsid w:val="003A360A"/>
    <w:rsid w:val="003A6862"/>
    <w:rsid w:val="003B0858"/>
    <w:rsid w:val="003B22FC"/>
    <w:rsid w:val="003B4051"/>
    <w:rsid w:val="003F225B"/>
    <w:rsid w:val="003F3B95"/>
    <w:rsid w:val="003F5C1F"/>
    <w:rsid w:val="00402F14"/>
    <w:rsid w:val="004032E9"/>
    <w:rsid w:val="00411035"/>
    <w:rsid w:val="00417A76"/>
    <w:rsid w:val="00427731"/>
    <w:rsid w:val="00433903"/>
    <w:rsid w:val="00444F8C"/>
    <w:rsid w:val="00445947"/>
    <w:rsid w:val="004633DA"/>
    <w:rsid w:val="00463C86"/>
    <w:rsid w:val="00464591"/>
    <w:rsid w:val="00466AFC"/>
    <w:rsid w:val="00476A69"/>
    <w:rsid w:val="004815C3"/>
    <w:rsid w:val="004914F3"/>
    <w:rsid w:val="00497E14"/>
    <w:rsid w:val="004B3311"/>
    <w:rsid w:val="004C2F8F"/>
    <w:rsid w:val="004C55FE"/>
    <w:rsid w:val="004D2CFE"/>
    <w:rsid w:val="004F101E"/>
    <w:rsid w:val="004F2B1A"/>
    <w:rsid w:val="004F4DAB"/>
    <w:rsid w:val="00500C80"/>
    <w:rsid w:val="005048AB"/>
    <w:rsid w:val="00506A84"/>
    <w:rsid w:val="00513BBC"/>
    <w:rsid w:val="00540501"/>
    <w:rsid w:val="00544F9B"/>
    <w:rsid w:val="00550907"/>
    <w:rsid w:val="005571B1"/>
    <w:rsid w:val="005943F3"/>
    <w:rsid w:val="005C2A15"/>
    <w:rsid w:val="005C7101"/>
    <w:rsid w:val="005D1091"/>
    <w:rsid w:val="005E06F7"/>
    <w:rsid w:val="005E41D1"/>
    <w:rsid w:val="005E66AD"/>
    <w:rsid w:val="005F004C"/>
    <w:rsid w:val="005F09C4"/>
    <w:rsid w:val="005F4FA7"/>
    <w:rsid w:val="00604476"/>
    <w:rsid w:val="00606AF1"/>
    <w:rsid w:val="00617B1B"/>
    <w:rsid w:val="00624994"/>
    <w:rsid w:val="0063042D"/>
    <w:rsid w:val="00652308"/>
    <w:rsid w:val="00680136"/>
    <w:rsid w:val="006A11CC"/>
    <w:rsid w:val="006A3379"/>
    <w:rsid w:val="006A4BDC"/>
    <w:rsid w:val="006B1377"/>
    <w:rsid w:val="006B322A"/>
    <w:rsid w:val="006B42E6"/>
    <w:rsid w:val="006B6111"/>
    <w:rsid w:val="006C085C"/>
    <w:rsid w:val="006D213B"/>
    <w:rsid w:val="006D6985"/>
    <w:rsid w:val="006F6BB9"/>
    <w:rsid w:val="007032AD"/>
    <w:rsid w:val="007055A2"/>
    <w:rsid w:val="007075A5"/>
    <w:rsid w:val="007175C7"/>
    <w:rsid w:val="00720969"/>
    <w:rsid w:val="0072171D"/>
    <w:rsid w:val="00731A69"/>
    <w:rsid w:val="00733851"/>
    <w:rsid w:val="00735E6C"/>
    <w:rsid w:val="007428AC"/>
    <w:rsid w:val="00743516"/>
    <w:rsid w:val="00746FB2"/>
    <w:rsid w:val="007607EC"/>
    <w:rsid w:val="007612AD"/>
    <w:rsid w:val="0078484F"/>
    <w:rsid w:val="007B09B4"/>
    <w:rsid w:val="007D174F"/>
    <w:rsid w:val="007D688D"/>
    <w:rsid w:val="007D732D"/>
    <w:rsid w:val="008030C4"/>
    <w:rsid w:val="00803D30"/>
    <w:rsid w:val="00815B83"/>
    <w:rsid w:val="00816492"/>
    <w:rsid w:val="00826DE0"/>
    <w:rsid w:val="00845178"/>
    <w:rsid w:val="0085752E"/>
    <w:rsid w:val="0086176C"/>
    <w:rsid w:val="008640B3"/>
    <w:rsid w:val="00864B61"/>
    <w:rsid w:val="0088507F"/>
    <w:rsid w:val="00891A8A"/>
    <w:rsid w:val="00896F4C"/>
    <w:rsid w:val="008A49EA"/>
    <w:rsid w:val="008B59C4"/>
    <w:rsid w:val="008B5E80"/>
    <w:rsid w:val="008D3C09"/>
    <w:rsid w:val="008D3FFC"/>
    <w:rsid w:val="008D4055"/>
    <w:rsid w:val="008E7EBB"/>
    <w:rsid w:val="009063F1"/>
    <w:rsid w:val="00914C6D"/>
    <w:rsid w:val="00926E44"/>
    <w:rsid w:val="00927C41"/>
    <w:rsid w:val="00933044"/>
    <w:rsid w:val="0093520B"/>
    <w:rsid w:val="00965E33"/>
    <w:rsid w:val="0097208D"/>
    <w:rsid w:val="0097221D"/>
    <w:rsid w:val="0097657D"/>
    <w:rsid w:val="00976EE0"/>
    <w:rsid w:val="00981107"/>
    <w:rsid w:val="00993BB1"/>
    <w:rsid w:val="009A23AF"/>
    <w:rsid w:val="009B1F69"/>
    <w:rsid w:val="009D26B1"/>
    <w:rsid w:val="00A04460"/>
    <w:rsid w:val="00A1366F"/>
    <w:rsid w:val="00A1674F"/>
    <w:rsid w:val="00A2304F"/>
    <w:rsid w:val="00A255AA"/>
    <w:rsid w:val="00A3111D"/>
    <w:rsid w:val="00A32A43"/>
    <w:rsid w:val="00A3495F"/>
    <w:rsid w:val="00A61008"/>
    <w:rsid w:val="00A6461C"/>
    <w:rsid w:val="00A65E6D"/>
    <w:rsid w:val="00A83D04"/>
    <w:rsid w:val="00A95030"/>
    <w:rsid w:val="00AA18C4"/>
    <w:rsid w:val="00AA4593"/>
    <w:rsid w:val="00AB2668"/>
    <w:rsid w:val="00AD3DA7"/>
    <w:rsid w:val="00AD40BD"/>
    <w:rsid w:val="00AD5D3D"/>
    <w:rsid w:val="00AE375E"/>
    <w:rsid w:val="00AE7843"/>
    <w:rsid w:val="00AF2CFE"/>
    <w:rsid w:val="00AF39F6"/>
    <w:rsid w:val="00AF4A69"/>
    <w:rsid w:val="00AF543B"/>
    <w:rsid w:val="00AF7640"/>
    <w:rsid w:val="00B03CD3"/>
    <w:rsid w:val="00B1456E"/>
    <w:rsid w:val="00B14CB3"/>
    <w:rsid w:val="00B14DFE"/>
    <w:rsid w:val="00B15548"/>
    <w:rsid w:val="00B2604F"/>
    <w:rsid w:val="00B35810"/>
    <w:rsid w:val="00B36703"/>
    <w:rsid w:val="00B4659D"/>
    <w:rsid w:val="00B50D50"/>
    <w:rsid w:val="00B55A7A"/>
    <w:rsid w:val="00B61A5E"/>
    <w:rsid w:val="00B91FAC"/>
    <w:rsid w:val="00B9446D"/>
    <w:rsid w:val="00BA2D85"/>
    <w:rsid w:val="00BE2719"/>
    <w:rsid w:val="00BE3810"/>
    <w:rsid w:val="00C1059A"/>
    <w:rsid w:val="00C25157"/>
    <w:rsid w:val="00C33A04"/>
    <w:rsid w:val="00C70DD5"/>
    <w:rsid w:val="00C70EF8"/>
    <w:rsid w:val="00C8738A"/>
    <w:rsid w:val="00C876CA"/>
    <w:rsid w:val="00C94268"/>
    <w:rsid w:val="00CA19B1"/>
    <w:rsid w:val="00CA7930"/>
    <w:rsid w:val="00CA7F22"/>
    <w:rsid w:val="00CC1118"/>
    <w:rsid w:val="00CD2F16"/>
    <w:rsid w:val="00CD5AAC"/>
    <w:rsid w:val="00CE6E91"/>
    <w:rsid w:val="00CF0A68"/>
    <w:rsid w:val="00CF1790"/>
    <w:rsid w:val="00D013A1"/>
    <w:rsid w:val="00D05A50"/>
    <w:rsid w:val="00D073FB"/>
    <w:rsid w:val="00D125DA"/>
    <w:rsid w:val="00D17C6B"/>
    <w:rsid w:val="00D228D3"/>
    <w:rsid w:val="00D244FD"/>
    <w:rsid w:val="00D3755E"/>
    <w:rsid w:val="00D500FB"/>
    <w:rsid w:val="00D511CD"/>
    <w:rsid w:val="00D5184A"/>
    <w:rsid w:val="00D7248C"/>
    <w:rsid w:val="00D73F30"/>
    <w:rsid w:val="00D7684D"/>
    <w:rsid w:val="00D82854"/>
    <w:rsid w:val="00DB714C"/>
    <w:rsid w:val="00DC2672"/>
    <w:rsid w:val="00DC4114"/>
    <w:rsid w:val="00DC411A"/>
    <w:rsid w:val="00DD0B76"/>
    <w:rsid w:val="00DD3608"/>
    <w:rsid w:val="00DD4A38"/>
    <w:rsid w:val="00DF0461"/>
    <w:rsid w:val="00DF1C7B"/>
    <w:rsid w:val="00E0152D"/>
    <w:rsid w:val="00E02E3F"/>
    <w:rsid w:val="00E06892"/>
    <w:rsid w:val="00E5416B"/>
    <w:rsid w:val="00E54840"/>
    <w:rsid w:val="00E7370B"/>
    <w:rsid w:val="00E75C20"/>
    <w:rsid w:val="00E77C01"/>
    <w:rsid w:val="00EA06A4"/>
    <w:rsid w:val="00EC04A5"/>
    <w:rsid w:val="00EC2662"/>
    <w:rsid w:val="00EC685A"/>
    <w:rsid w:val="00ED477E"/>
    <w:rsid w:val="00ED540E"/>
    <w:rsid w:val="00EE3119"/>
    <w:rsid w:val="00F0517B"/>
    <w:rsid w:val="00F15FCA"/>
    <w:rsid w:val="00F242CC"/>
    <w:rsid w:val="00F25EFA"/>
    <w:rsid w:val="00F26438"/>
    <w:rsid w:val="00F4417A"/>
    <w:rsid w:val="00F47F0A"/>
    <w:rsid w:val="00F71C27"/>
    <w:rsid w:val="00F74218"/>
    <w:rsid w:val="00F809F7"/>
    <w:rsid w:val="00FB65FB"/>
    <w:rsid w:val="00FB713D"/>
    <w:rsid w:val="00FC6F42"/>
    <w:rsid w:val="00FD5585"/>
    <w:rsid w:val="00FF466A"/>
    <w:rsid w:val="00FF5B90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3ADF9E"/>
  <w15:chartTrackingRefBased/>
  <w15:docId w15:val="{25E2E7AC-07C3-4B39-9447-48A9D04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62"/>
    <w:pPr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283F4F"/>
    <w:pPr>
      <w:keepNext/>
      <w:keepLines/>
      <w:pageBreakBefore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3F4F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005A9A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5A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ajorHAnsi" w:eastAsiaTheme="majorEastAsia" w:hAnsiTheme="majorHAnsi" w:cstheme="majorBidi"/>
      <w:color w:val="005A9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686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686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686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686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686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686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B405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4051"/>
    <w:rPr>
      <w:rFonts w:asciiTheme="majorHAnsi" w:eastAsiaTheme="majorEastAsia" w:hAnsiTheme="majorHAnsi" w:cstheme="majorBidi"/>
      <w:b/>
      <w:color w:val="005A9A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83F4F"/>
    <w:rPr>
      <w:rFonts w:asciiTheme="majorHAnsi" w:eastAsiaTheme="majorEastAsia" w:hAnsiTheme="majorHAnsi" w:cstheme="majorBidi"/>
      <w:color w:val="005A9A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E3F"/>
  </w:style>
  <w:style w:type="paragraph" w:styleId="Podnoje">
    <w:name w:val="footer"/>
    <w:basedOn w:val="Normal"/>
    <w:link w:val="PodnojeChar"/>
    <w:uiPriority w:val="99"/>
    <w:unhideWhenUsed/>
    <w:rsid w:val="00E0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E3F"/>
  </w:style>
  <w:style w:type="paragraph" w:styleId="Podnaslov">
    <w:name w:val="Subtitle"/>
    <w:basedOn w:val="Normal"/>
    <w:next w:val="Normal"/>
    <w:link w:val="PodnaslovChar"/>
    <w:uiPriority w:val="11"/>
    <w:qFormat/>
    <w:rsid w:val="00F71C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71C27"/>
    <w:rPr>
      <w:rFonts w:eastAsiaTheme="minorEastAsia"/>
      <w:color w:val="5A5A5A" w:themeColor="text1" w:themeTint="A5"/>
      <w:spacing w:val="15"/>
    </w:rPr>
  </w:style>
  <w:style w:type="character" w:customStyle="1" w:styleId="Naslov2Char">
    <w:name w:val="Naslov 2 Char"/>
    <w:basedOn w:val="Zadanifontodlomka"/>
    <w:link w:val="Naslov2"/>
    <w:uiPriority w:val="9"/>
    <w:rsid w:val="00283F4F"/>
    <w:rPr>
      <w:rFonts w:asciiTheme="majorHAnsi" w:eastAsiaTheme="majorEastAsia" w:hAnsiTheme="majorHAnsi" w:cstheme="majorBidi"/>
      <w:color w:val="005A9A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5A"/>
    <w:rPr>
      <w:rFonts w:asciiTheme="majorHAnsi" w:eastAsiaTheme="majorEastAsia" w:hAnsiTheme="majorHAnsi" w:cstheme="majorBidi"/>
      <w:color w:val="005A9A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68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68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686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68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6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kstrezerviranogmjesta">
    <w:name w:val="Placeholder Text"/>
    <w:basedOn w:val="Zadanifontodlomka"/>
    <w:uiPriority w:val="99"/>
    <w:semiHidden/>
    <w:rsid w:val="00FF5B90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DB714C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11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1">
    <w:name w:val="List Table 3 Accent 1"/>
    <w:basedOn w:val="Obinatablica"/>
    <w:uiPriority w:val="48"/>
    <w:rsid w:val="001122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ED540E"/>
    <w:pPr>
      <w:pageBreakBefore w:val="0"/>
      <w:numPr>
        <w:numId w:val="0"/>
      </w:num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6F6BB9"/>
    <w:pPr>
      <w:spacing w:after="100"/>
    </w:pPr>
    <w:rPr>
      <w:sz w:val="28"/>
    </w:rPr>
  </w:style>
  <w:style w:type="character" w:styleId="Hiperveza">
    <w:name w:val="Hyperlink"/>
    <w:basedOn w:val="Zadanifontodlomka"/>
    <w:uiPriority w:val="99"/>
    <w:unhideWhenUsed/>
    <w:rsid w:val="00ED540E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5571B1"/>
    <w:pPr>
      <w:spacing w:after="100"/>
    </w:pPr>
    <w:rPr>
      <w:sz w:val="24"/>
    </w:rPr>
  </w:style>
  <w:style w:type="paragraph" w:styleId="Odlomakpopisa">
    <w:name w:val="List Paragraph"/>
    <w:basedOn w:val="Normal"/>
    <w:uiPriority w:val="34"/>
    <w:qFormat/>
    <w:rsid w:val="00891A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91A8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66F"/>
    <w:rPr>
      <w:rFonts w:ascii="Segoe UI" w:hAnsi="Segoe UI" w:cs="Segoe UI"/>
      <w:sz w:val="18"/>
      <w:szCs w:val="18"/>
    </w:rPr>
  </w:style>
  <w:style w:type="table" w:styleId="Tamnatablicareetke5-isticanje1">
    <w:name w:val="Grid Table 5 Dark Accent 1"/>
    <w:basedOn w:val="Obinatablica"/>
    <w:uiPriority w:val="50"/>
    <w:rsid w:val="00BE27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2008B12C2A54EBAB5DFCD1EDEE80B" ma:contentTypeVersion="11" ma:contentTypeDescription="Create a new document." ma:contentTypeScope="" ma:versionID="ed7145b5a5e6598c9877611dd935a2f0">
  <xsd:schema xmlns:xsd="http://www.w3.org/2001/XMLSchema" xmlns:xs="http://www.w3.org/2001/XMLSchema" xmlns:p="http://schemas.microsoft.com/office/2006/metadata/properties" xmlns:ns2="e148373a-bc0c-4e45-9eef-6ae565699e45" xmlns:ns3="82b44307-d83d-434c-8e35-0b1bc591900d" targetNamespace="http://schemas.microsoft.com/office/2006/metadata/properties" ma:root="true" ma:fieldsID="da7c3291ba36eb03f5657fb4d7389442" ns2:_="" ns3:_="">
    <xsd:import namespace="e148373a-bc0c-4e45-9eef-6ae565699e45"/>
    <xsd:import namespace="82b44307-d83d-434c-8e35-0b1bc591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373a-bc0c-4e45-9eef-6ae56569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4307-d83d-434c-8e35-0b1bc5919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2D7AD-10E6-4830-B515-F579221B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8373a-bc0c-4e45-9eef-6ae565699e45"/>
    <ds:schemaRef ds:uri="82b44307-d83d-434c-8e35-0b1bc5919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EB0A4-FC4C-453B-AD79-38985BE7A28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b44307-d83d-434c-8e35-0b1bc591900d"/>
    <ds:schemaRef ds:uri="http://purl.org/dc/terms/"/>
    <ds:schemaRef ds:uri="e148373a-bc0c-4e45-9eef-6ae565699e4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5B4958-8179-4995-9A11-FB7537AC0C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2810-2EF7-427F-AFED-7E473CC0C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1307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Sergej Petrović</cp:lastModifiedBy>
  <cp:revision>178</cp:revision>
  <dcterms:created xsi:type="dcterms:W3CDTF">2020-11-22T12:10:00Z</dcterms:created>
  <dcterms:modified xsi:type="dcterms:W3CDTF">2025-06-10T12:16:00Z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0x010100F8C2008B12C2A54EBAB5DFCD1EDEE80B</vt:lpwstr>
  </property>
</Properties>
</file>